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8.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AF3E1D" w14:textId="77777777" w:rsidR="000E23E5" w:rsidRDefault="000E23E5" w:rsidP="00B5173F">
      <w:pPr>
        <w:spacing w:after="0" w:line="240" w:lineRule="auto"/>
        <w:jc w:val="center"/>
      </w:pPr>
    </w:p>
    <w:p w14:paraId="1FB1B0A7" w14:textId="10A0DF9D" w:rsidR="00B5173F" w:rsidRPr="0014699B" w:rsidRDefault="00000000" w:rsidP="00B5173F">
      <w:pPr>
        <w:spacing w:after="0" w:line="240" w:lineRule="auto"/>
        <w:jc w:val="center"/>
        <w:rPr>
          <w:rFonts w:ascii="Arial" w:eastAsia="Calibri" w:hAnsi="Arial" w:cs="Arial"/>
          <w:b/>
          <w:bCs/>
          <w:sz w:val="24"/>
          <w:szCs w:val="24"/>
        </w:rPr>
      </w:pPr>
      <w:hyperlink r:id="rId8" w:history="1">
        <w:r w:rsidR="00B5173F" w:rsidRPr="0014699B">
          <w:rPr>
            <w:rFonts w:ascii="Arial" w:eastAsia="Calibri" w:hAnsi="Arial" w:cs="Arial"/>
            <w:b/>
            <w:bCs/>
            <w:sz w:val="24"/>
            <w:szCs w:val="24"/>
          </w:rPr>
          <w:t>NOTAS DE GESTIÓN ADMINISTRATIVA</w:t>
        </w:r>
      </w:hyperlink>
    </w:p>
    <w:p w14:paraId="7ED2B335" w14:textId="77777777" w:rsidR="00B5173F" w:rsidRDefault="00B5173F" w:rsidP="00B5173F">
      <w:pPr>
        <w:spacing w:after="0" w:line="276" w:lineRule="auto"/>
        <w:jc w:val="center"/>
        <w:rPr>
          <w:rFonts w:ascii="Arial" w:eastAsia="Calibri" w:hAnsi="Arial" w:cs="Arial"/>
          <w:sz w:val="24"/>
          <w:szCs w:val="24"/>
        </w:rPr>
      </w:pPr>
    </w:p>
    <w:p w14:paraId="7431EF76" w14:textId="77777777" w:rsidR="00B5173F" w:rsidRDefault="00B5173F" w:rsidP="00484865">
      <w:pPr>
        <w:numPr>
          <w:ilvl w:val="0"/>
          <w:numId w:val="11"/>
        </w:numPr>
        <w:spacing w:line="276" w:lineRule="auto"/>
        <w:ind w:left="-397"/>
        <w:contextualSpacing/>
        <w:jc w:val="both"/>
        <w:rPr>
          <w:rFonts w:ascii="Arial" w:eastAsia="Calibri" w:hAnsi="Arial" w:cs="Arial"/>
          <w:sz w:val="24"/>
          <w:szCs w:val="24"/>
        </w:rPr>
      </w:pPr>
      <w:r>
        <w:rPr>
          <w:rFonts w:ascii="Arial" w:eastAsia="Calibri" w:hAnsi="Arial" w:cs="Arial"/>
          <w:b/>
          <w:sz w:val="24"/>
          <w:szCs w:val="24"/>
        </w:rPr>
        <w:t>Introducción:</w:t>
      </w:r>
      <w:r>
        <w:rPr>
          <w:rFonts w:ascii="Arial" w:eastAsia="Calibri" w:hAnsi="Arial" w:cs="Arial"/>
          <w:sz w:val="24"/>
          <w:szCs w:val="24"/>
        </w:rPr>
        <w:tab/>
      </w:r>
    </w:p>
    <w:p w14:paraId="3ABC81C5" w14:textId="77777777" w:rsidR="00B5173F" w:rsidRDefault="00B5173F" w:rsidP="00484865">
      <w:pPr>
        <w:spacing w:line="276" w:lineRule="auto"/>
        <w:ind w:left="-397"/>
        <w:contextualSpacing/>
        <w:jc w:val="both"/>
        <w:rPr>
          <w:rFonts w:ascii="Arial" w:eastAsia="Calibri" w:hAnsi="Arial" w:cs="Arial"/>
          <w:sz w:val="24"/>
          <w:szCs w:val="24"/>
        </w:rPr>
      </w:pPr>
    </w:p>
    <w:p w14:paraId="6CCB3ECD" w14:textId="0CECCFF0" w:rsidR="00B5173F" w:rsidRDefault="00312544" w:rsidP="00484865">
      <w:pPr>
        <w:spacing w:after="0" w:line="360" w:lineRule="auto"/>
        <w:ind w:left="-397"/>
        <w:jc w:val="both"/>
        <w:rPr>
          <w:rFonts w:ascii="Arial" w:eastAsia="Calibri" w:hAnsi="Arial" w:cs="Arial"/>
          <w:sz w:val="24"/>
          <w:szCs w:val="24"/>
        </w:rPr>
      </w:pPr>
      <w:r>
        <w:rPr>
          <w:rFonts w:ascii="Arial" w:eastAsia="Calibri" w:hAnsi="Arial" w:cs="Arial"/>
          <w:sz w:val="24"/>
          <w:szCs w:val="24"/>
        </w:rPr>
        <w:t>La</w:t>
      </w:r>
      <w:r w:rsidR="00D33EC0">
        <w:rPr>
          <w:rFonts w:ascii="Arial" w:eastAsia="Calibri" w:hAnsi="Arial" w:cs="Arial"/>
          <w:sz w:val="24"/>
          <w:szCs w:val="24"/>
        </w:rPr>
        <w:t xml:space="preserve"> presente administración pública por conducto de la</w:t>
      </w:r>
      <w:r w:rsidR="00B5173F">
        <w:rPr>
          <w:rFonts w:ascii="Arial" w:eastAsia="Calibri" w:hAnsi="Arial" w:cs="Arial"/>
          <w:sz w:val="24"/>
          <w:szCs w:val="24"/>
        </w:rPr>
        <w:t xml:space="preserve"> </w:t>
      </w:r>
      <w:r w:rsidR="007D304B">
        <w:rPr>
          <w:rFonts w:ascii="Arial" w:eastAsia="Calibri" w:hAnsi="Arial" w:cs="Arial"/>
          <w:sz w:val="24"/>
          <w:szCs w:val="24"/>
        </w:rPr>
        <w:t>Gobernadora Constitucional del Estado</w:t>
      </w:r>
      <w:r w:rsidR="00B5173F">
        <w:rPr>
          <w:rFonts w:ascii="Arial" w:eastAsia="Calibri" w:hAnsi="Arial" w:cs="Arial"/>
          <w:sz w:val="24"/>
          <w:szCs w:val="24"/>
        </w:rPr>
        <w:t xml:space="preserve">, tiene entre otras </w:t>
      </w:r>
      <w:r w:rsidR="007D304B">
        <w:rPr>
          <w:rFonts w:ascii="Arial" w:eastAsia="Calibri" w:hAnsi="Arial" w:cs="Arial"/>
          <w:sz w:val="24"/>
          <w:szCs w:val="24"/>
        </w:rPr>
        <w:t>facultades</w:t>
      </w:r>
      <w:r w:rsidR="00B5173F">
        <w:rPr>
          <w:rFonts w:ascii="Arial" w:eastAsia="Calibri" w:hAnsi="Arial" w:cs="Arial"/>
          <w:sz w:val="24"/>
          <w:szCs w:val="24"/>
        </w:rPr>
        <w:t xml:space="preserve"> la de planear y </w:t>
      </w:r>
      <w:r>
        <w:rPr>
          <w:rFonts w:ascii="Arial" w:eastAsia="Calibri" w:hAnsi="Arial" w:cs="Arial"/>
          <w:sz w:val="24"/>
          <w:szCs w:val="24"/>
        </w:rPr>
        <w:t>dirigir</w:t>
      </w:r>
      <w:r w:rsidR="00B5173F">
        <w:rPr>
          <w:rFonts w:ascii="Arial" w:eastAsia="Calibri" w:hAnsi="Arial" w:cs="Arial"/>
          <w:sz w:val="24"/>
          <w:szCs w:val="24"/>
        </w:rPr>
        <w:t xml:space="preserve"> </w:t>
      </w:r>
      <w:r w:rsidR="00A11C8B">
        <w:rPr>
          <w:rFonts w:ascii="Arial" w:eastAsia="Calibri" w:hAnsi="Arial" w:cs="Arial"/>
          <w:sz w:val="24"/>
          <w:szCs w:val="24"/>
        </w:rPr>
        <w:t xml:space="preserve">a buen </w:t>
      </w:r>
      <w:r w:rsidR="00D33EC0">
        <w:rPr>
          <w:rFonts w:ascii="Arial" w:eastAsia="Calibri" w:hAnsi="Arial" w:cs="Arial"/>
          <w:sz w:val="24"/>
          <w:szCs w:val="24"/>
        </w:rPr>
        <w:t>destino</w:t>
      </w:r>
      <w:r w:rsidR="00B5173F">
        <w:rPr>
          <w:rFonts w:ascii="Arial" w:eastAsia="Calibri" w:hAnsi="Arial" w:cs="Arial"/>
          <w:sz w:val="24"/>
          <w:szCs w:val="24"/>
        </w:rPr>
        <w:t>, el desarrollo integral del Estado</w:t>
      </w:r>
      <w:r w:rsidR="00240B3F">
        <w:rPr>
          <w:rFonts w:ascii="Arial" w:eastAsia="Calibri" w:hAnsi="Arial" w:cs="Arial"/>
          <w:sz w:val="24"/>
          <w:szCs w:val="24"/>
        </w:rPr>
        <w:t xml:space="preserve"> que gobierna</w:t>
      </w:r>
      <w:r w:rsidR="00B5173F">
        <w:rPr>
          <w:rFonts w:ascii="Arial" w:eastAsia="Calibri" w:hAnsi="Arial" w:cs="Arial"/>
          <w:sz w:val="24"/>
          <w:szCs w:val="24"/>
        </w:rPr>
        <w:t xml:space="preserve">, estableciendo los </w:t>
      </w:r>
      <w:r w:rsidR="00D37273">
        <w:rPr>
          <w:rFonts w:ascii="Arial" w:eastAsia="Calibri" w:hAnsi="Arial" w:cs="Arial"/>
          <w:sz w:val="24"/>
          <w:szCs w:val="24"/>
        </w:rPr>
        <w:t>mecanismos</w:t>
      </w:r>
      <w:r w:rsidR="00B5173F">
        <w:rPr>
          <w:rFonts w:ascii="Arial" w:eastAsia="Calibri" w:hAnsi="Arial" w:cs="Arial"/>
          <w:sz w:val="24"/>
          <w:szCs w:val="24"/>
        </w:rPr>
        <w:t xml:space="preserve"> de consulta necesarios para la formulación, implementación, ejecución, control, y evaluación de todas las</w:t>
      </w:r>
      <w:r w:rsidR="00390D9A">
        <w:rPr>
          <w:rFonts w:ascii="Arial" w:eastAsia="Calibri" w:hAnsi="Arial" w:cs="Arial"/>
          <w:sz w:val="24"/>
          <w:szCs w:val="24"/>
        </w:rPr>
        <w:t xml:space="preserve"> acciones,</w:t>
      </w:r>
      <w:r>
        <w:rPr>
          <w:rFonts w:ascii="Arial" w:eastAsia="Calibri" w:hAnsi="Arial" w:cs="Arial"/>
          <w:sz w:val="24"/>
          <w:szCs w:val="24"/>
        </w:rPr>
        <w:t xml:space="preserve"> obras y proyectos</w:t>
      </w:r>
      <w:r w:rsidR="00B5173F">
        <w:rPr>
          <w:rFonts w:ascii="Arial" w:eastAsia="Calibri" w:hAnsi="Arial" w:cs="Arial"/>
          <w:sz w:val="24"/>
          <w:szCs w:val="24"/>
        </w:rPr>
        <w:t xml:space="preserve"> contenid</w:t>
      </w:r>
      <w:r>
        <w:rPr>
          <w:rFonts w:ascii="Arial" w:eastAsia="Calibri" w:hAnsi="Arial" w:cs="Arial"/>
          <w:sz w:val="24"/>
          <w:szCs w:val="24"/>
        </w:rPr>
        <w:t>o</w:t>
      </w:r>
      <w:r w:rsidR="00B5173F">
        <w:rPr>
          <w:rFonts w:ascii="Arial" w:eastAsia="Calibri" w:hAnsi="Arial" w:cs="Arial"/>
          <w:sz w:val="24"/>
          <w:szCs w:val="24"/>
        </w:rPr>
        <w:t xml:space="preserve">s en el Plan Estatal de Desarrollo </w:t>
      </w:r>
      <w:r>
        <w:rPr>
          <w:rFonts w:ascii="Arial" w:eastAsia="Calibri" w:hAnsi="Arial" w:cs="Arial"/>
          <w:sz w:val="24"/>
          <w:szCs w:val="24"/>
        </w:rPr>
        <w:t xml:space="preserve">de la </w:t>
      </w:r>
      <w:r w:rsidR="00D37273">
        <w:rPr>
          <w:rFonts w:ascii="Arial" w:eastAsia="Calibri" w:hAnsi="Arial" w:cs="Arial"/>
          <w:sz w:val="24"/>
          <w:szCs w:val="24"/>
        </w:rPr>
        <w:t xml:space="preserve">actual </w:t>
      </w:r>
      <w:r>
        <w:rPr>
          <w:rFonts w:ascii="Arial" w:eastAsia="Calibri" w:hAnsi="Arial" w:cs="Arial"/>
          <w:sz w:val="24"/>
          <w:szCs w:val="24"/>
        </w:rPr>
        <w:t xml:space="preserve">Administración Pública </w:t>
      </w:r>
      <w:r w:rsidR="00D37273">
        <w:rPr>
          <w:rFonts w:ascii="Arial" w:eastAsia="Calibri" w:hAnsi="Arial" w:cs="Arial"/>
          <w:sz w:val="24"/>
          <w:szCs w:val="24"/>
        </w:rPr>
        <w:t xml:space="preserve">que comprende el periodo </w:t>
      </w:r>
      <w:r w:rsidR="00B5173F">
        <w:rPr>
          <w:rFonts w:ascii="Arial" w:eastAsia="Calibri" w:hAnsi="Arial" w:cs="Arial"/>
          <w:sz w:val="24"/>
          <w:szCs w:val="24"/>
        </w:rPr>
        <w:t>2021 - 2027 y lo</w:t>
      </w:r>
      <w:r w:rsidR="00A11C8B">
        <w:rPr>
          <w:rFonts w:ascii="Arial" w:eastAsia="Calibri" w:hAnsi="Arial" w:cs="Arial"/>
          <w:sz w:val="24"/>
          <w:szCs w:val="24"/>
        </w:rPr>
        <w:t>s programas que de él emanen</w:t>
      </w:r>
      <w:r w:rsidR="00B5173F">
        <w:rPr>
          <w:rFonts w:ascii="Arial" w:eastAsia="Calibri" w:hAnsi="Arial" w:cs="Arial"/>
          <w:sz w:val="24"/>
          <w:szCs w:val="24"/>
        </w:rPr>
        <w:t>; Así mismo, tiene la responsabilidad de proveer eficaz</w:t>
      </w:r>
      <w:r w:rsidR="00581E01">
        <w:rPr>
          <w:rFonts w:ascii="Arial" w:eastAsia="Calibri" w:hAnsi="Arial" w:cs="Arial"/>
          <w:sz w:val="24"/>
          <w:szCs w:val="24"/>
        </w:rPr>
        <w:t xml:space="preserve"> y eficientemente,</w:t>
      </w:r>
      <w:r w:rsidR="00B5173F">
        <w:rPr>
          <w:rFonts w:ascii="Arial" w:eastAsia="Calibri" w:hAnsi="Arial" w:cs="Arial"/>
          <w:sz w:val="24"/>
          <w:szCs w:val="24"/>
        </w:rPr>
        <w:t xml:space="preserve"> satisfacción en los servicios públicos que </w:t>
      </w:r>
      <w:r w:rsidR="00A11C8B">
        <w:rPr>
          <w:rFonts w:ascii="Arial" w:eastAsia="Calibri" w:hAnsi="Arial" w:cs="Arial"/>
          <w:sz w:val="24"/>
          <w:szCs w:val="24"/>
        </w:rPr>
        <w:t xml:space="preserve">brinda a </w:t>
      </w:r>
      <w:r w:rsidR="00390D9A">
        <w:rPr>
          <w:rFonts w:ascii="Arial" w:eastAsia="Calibri" w:hAnsi="Arial" w:cs="Arial"/>
          <w:sz w:val="24"/>
          <w:szCs w:val="24"/>
        </w:rPr>
        <w:t xml:space="preserve">la población </w:t>
      </w:r>
      <w:r w:rsidR="00D37273">
        <w:rPr>
          <w:rFonts w:ascii="Arial" w:eastAsia="Calibri" w:hAnsi="Arial" w:cs="Arial"/>
          <w:sz w:val="24"/>
          <w:szCs w:val="24"/>
        </w:rPr>
        <w:t>Guerrerense</w:t>
      </w:r>
      <w:r w:rsidR="00B5173F">
        <w:rPr>
          <w:rFonts w:ascii="Arial" w:eastAsia="Calibri" w:hAnsi="Arial" w:cs="Arial"/>
          <w:sz w:val="24"/>
          <w:szCs w:val="24"/>
        </w:rPr>
        <w:t>, de conformidad</w:t>
      </w:r>
      <w:r w:rsidR="00390D9A">
        <w:rPr>
          <w:rFonts w:ascii="Arial" w:eastAsia="Calibri" w:hAnsi="Arial" w:cs="Arial"/>
          <w:sz w:val="24"/>
          <w:szCs w:val="24"/>
        </w:rPr>
        <w:t xml:space="preserve"> y disponibilidad</w:t>
      </w:r>
      <w:r w:rsidR="00B5173F">
        <w:rPr>
          <w:rFonts w:ascii="Arial" w:eastAsia="Calibri" w:hAnsi="Arial" w:cs="Arial"/>
          <w:sz w:val="24"/>
          <w:szCs w:val="24"/>
        </w:rPr>
        <w:t xml:space="preserve"> </w:t>
      </w:r>
      <w:r w:rsidR="00390D9A">
        <w:rPr>
          <w:rFonts w:ascii="Arial" w:eastAsia="Calibri" w:hAnsi="Arial" w:cs="Arial"/>
          <w:sz w:val="24"/>
          <w:szCs w:val="24"/>
        </w:rPr>
        <w:t>de</w:t>
      </w:r>
      <w:r w:rsidR="00B5173F">
        <w:rPr>
          <w:rFonts w:ascii="Arial" w:eastAsia="Calibri" w:hAnsi="Arial" w:cs="Arial"/>
          <w:sz w:val="24"/>
          <w:szCs w:val="24"/>
        </w:rPr>
        <w:t xml:space="preserve"> los </w:t>
      </w:r>
      <w:r w:rsidR="00581E01">
        <w:rPr>
          <w:rFonts w:ascii="Arial" w:eastAsia="Calibri" w:hAnsi="Arial" w:cs="Arial"/>
          <w:sz w:val="24"/>
          <w:szCs w:val="24"/>
        </w:rPr>
        <w:t xml:space="preserve">recursos </w:t>
      </w:r>
      <w:r w:rsidR="00B5173F">
        <w:rPr>
          <w:rFonts w:ascii="Arial" w:eastAsia="Calibri" w:hAnsi="Arial" w:cs="Arial"/>
          <w:sz w:val="24"/>
          <w:szCs w:val="24"/>
        </w:rPr>
        <w:t>presupuest</w:t>
      </w:r>
      <w:r w:rsidR="00581E01">
        <w:rPr>
          <w:rFonts w:ascii="Arial" w:eastAsia="Calibri" w:hAnsi="Arial" w:cs="Arial"/>
          <w:sz w:val="24"/>
          <w:szCs w:val="24"/>
        </w:rPr>
        <w:t>arios</w:t>
      </w:r>
      <w:r w:rsidR="00B5173F">
        <w:rPr>
          <w:rFonts w:ascii="Arial" w:eastAsia="Calibri" w:hAnsi="Arial" w:cs="Arial"/>
          <w:sz w:val="24"/>
          <w:szCs w:val="24"/>
        </w:rPr>
        <w:t xml:space="preserve"> aprobados y gestionar aquellos </w:t>
      </w:r>
      <w:r>
        <w:rPr>
          <w:rFonts w:ascii="Arial" w:eastAsia="Calibri" w:hAnsi="Arial" w:cs="Arial"/>
          <w:sz w:val="24"/>
          <w:szCs w:val="24"/>
        </w:rPr>
        <w:t xml:space="preserve"> </w:t>
      </w:r>
      <w:r w:rsidR="00B5173F">
        <w:rPr>
          <w:rFonts w:ascii="Arial" w:eastAsia="Calibri" w:hAnsi="Arial" w:cs="Arial"/>
          <w:sz w:val="24"/>
          <w:szCs w:val="24"/>
        </w:rPr>
        <w:t xml:space="preserve">que puedan proporcionar otras </w:t>
      </w:r>
      <w:r>
        <w:rPr>
          <w:rFonts w:ascii="Arial" w:eastAsia="Calibri" w:hAnsi="Arial" w:cs="Arial"/>
          <w:sz w:val="24"/>
          <w:szCs w:val="24"/>
        </w:rPr>
        <w:t>instancias</w:t>
      </w:r>
      <w:r w:rsidR="00B5173F">
        <w:rPr>
          <w:rFonts w:ascii="Arial" w:eastAsia="Calibri" w:hAnsi="Arial" w:cs="Arial"/>
          <w:sz w:val="24"/>
          <w:szCs w:val="24"/>
        </w:rPr>
        <w:t xml:space="preserve"> públicas</w:t>
      </w:r>
      <w:r w:rsidR="00581E01">
        <w:rPr>
          <w:rFonts w:ascii="Arial" w:eastAsia="Calibri" w:hAnsi="Arial" w:cs="Arial"/>
          <w:sz w:val="24"/>
          <w:szCs w:val="24"/>
        </w:rPr>
        <w:t xml:space="preserve"> gubernamentales</w:t>
      </w:r>
      <w:r w:rsidR="00B5173F">
        <w:rPr>
          <w:rFonts w:ascii="Arial" w:eastAsia="Calibri" w:hAnsi="Arial" w:cs="Arial"/>
          <w:sz w:val="24"/>
          <w:szCs w:val="24"/>
        </w:rPr>
        <w:t xml:space="preserve"> o</w:t>
      </w:r>
      <w:r w:rsidR="00A11C8B">
        <w:rPr>
          <w:rFonts w:ascii="Arial" w:eastAsia="Calibri" w:hAnsi="Arial" w:cs="Arial"/>
          <w:sz w:val="24"/>
          <w:szCs w:val="24"/>
        </w:rPr>
        <w:t xml:space="preserve"> en su caso del sector privado</w:t>
      </w:r>
      <w:r w:rsidR="00B5173F">
        <w:rPr>
          <w:rFonts w:ascii="Arial" w:eastAsia="Calibri" w:hAnsi="Arial" w:cs="Arial"/>
          <w:sz w:val="24"/>
          <w:szCs w:val="24"/>
        </w:rPr>
        <w:t>.</w:t>
      </w:r>
    </w:p>
    <w:p w14:paraId="3F2814C7" w14:textId="07D96707" w:rsidR="00FF1CD8" w:rsidRDefault="00FF1CD8" w:rsidP="00484865">
      <w:pPr>
        <w:spacing w:after="0" w:line="360" w:lineRule="auto"/>
        <w:ind w:left="-397"/>
        <w:jc w:val="both"/>
        <w:rPr>
          <w:rFonts w:ascii="Arial" w:eastAsia="Calibri" w:hAnsi="Arial" w:cs="Arial"/>
          <w:sz w:val="24"/>
          <w:szCs w:val="24"/>
        </w:rPr>
      </w:pPr>
    </w:p>
    <w:p w14:paraId="3A522D1E" w14:textId="77777777" w:rsidR="006B5A64" w:rsidRDefault="006B5A64" w:rsidP="00484865">
      <w:pPr>
        <w:spacing w:after="0" w:line="360" w:lineRule="auto"/>
        <w:ind w:left="-397"/>
        <w:jc w:val="both"/>
        <w:rPr>
          <w:rFonts w:ascii="Arial" w:eastAsia="Calibri" w:hAnsi="Arial" w:cs="Arial"/>
          <w:sz w:val="24"/>
          <w:szCs w:val="24"/>
        </w:rPr>
      </w:pPr>
    </w:p>
    <w:p w14:paraId="0BCEDCDD" w14:textId="77777777" w:rsidR="00250DC1" w:rsidRDefault="00250DC1" w:rsidP="00484865">
      <w:pPr>
        <w:spacing w:after="0" w:line="360" w:lineRule="auto"/>
        <w:ind w:left="-397"/>
        <w:jc w:val="both"/>
        <w:rPr>
          <w:rFonts w:ascii="Arial" w:eastAsia="Calibri" w:hAnsi="Arial" w:cs="Arial"/>
          <w:sz w:val="24"/>
          <w:szCs w:val="24"/>
        </w:rPr>
      </w:pPr>
    </w:p>
    <w:p w14:paraId="46023E6F" w14:textId="51DA9365" w:rsidR="00581E01" w:rsidRPr="00560151" w:rsidRDefault="00B5173F" w:rsidP="00484865">
      <w:pPr>
        <w:pStyle w:val="Prrafodelista"/>
        <w:numPr>
          <w:ilvl w:val="0"/>
          <w:numId w:val="11"/>
        </w:numPr>
        <w:tabs>
          <w:tab w:val="left" w:pos="8647"/>
        </w:tabs>
        <w:spacing w:after="0" w:line="360" w:lineRule="auto"/>
        <w:ind w:left="-397"/>
        <w:jc w:val="both"/>
        <w:rPr>
          <w:rFonts w:ascii="Arial" w:hAnsi="Arial" w:cs="Arial"/>
          <w:b/>
          <w:bCs/>
          <w:color w:val="000000" w:themeColor="text1"/>
          <w:sz w:val="24"/>
          <w:szCs w:val="24"/>
        </w:rPr>
      </w:pPr>
      <w:r w:rsidRPr="00B5173F">
        <w:rPr>
          <w:rFonts w:ascii="Arial" w:hAnsi="Arial" w:cs="Arial"/>
          <w:b/>
          <w:bCs/>
          <w:sz w:val="24"/>
          <w:szCs w:val="24"/>
        </w:rPr>
        <w:t>Panorama Económico y Financiero</w:t>
      </w:r>
      <w:r w:rsidR="00544373">
        <w:rPr>
          <w:rFonts w:ascii="Arial" w:hAnsi="Arial" w:cs="Arial"/>
          <w:b/>
          <w:bCs/>
          <w:sz w:val="24"/>
          <w:szCs w:val="24"/>
        </w:rPr>
        <w:t xml:space="preserve"> correspondiente al </w:t>
      </w:r>
      <w:r w:rsidR="00746331">
        <w:rPr>
          <w:rFonts w:ascii="Arial" w:hAnsi="Arial" w:cs="Arial"/>
          <w:b/>
          <w:bCs/>
          <w:sz w:val="24"/>
          <w:szCs w:val="24"/>
        </w:rPr>
        <w:t>primer</w:t>
      </w:r>
      <w:r w:rsidR="00A11C8B">
        <w:rPr>
          <w:rFonts w:ascii="Arial" w:hAnsi="Arial" w:cs="Arial"/>
          <w:b/>
          <w:bCs/>
          <w:sz w:val="24"/>
          <w:szCs w:val="24"/>
        </w:rPr>
        <w:t xml:space="preserve"> periodo trimestral</w:t>
      </w:r>
      <w:r w:rsidR="00F62CD6">
        <w:rPr>
          <w:rFonts w:ascii="Arial" w:hAnsi="Arial" w:cs="Arial"/>
          <w:b/>
          <w:bCs/>
          <w:sz w:val="24"/>
          <w:szCs w:val="24"/>
        </w:rPr>
        <w:t xml:space="preserve"> del ejercicio fiscal 202</w:t>
      </w:r>
      <w:r w:rsidR="00746331">
        <w:rPr>
          <w:rFonts w:ascii="Arial" w:hAnsi="Arial" w:cs="Arial"/>
          <w:b/>
          <w:bCs/>
          <w:sz w:val="24"/>
          <w:szCs w:val="24"/>
        </w:rPr>
        <w:t>6</w:t>
      </w:r>
    </w:p>
    <w:p w14:paraId="04BF758C" w14:textId="77777777" w:rsidR="00560151" w:rsidRPr="00581E01" w:rsidRDefault="00560151" w:rsidP="00484865">
      <w:pPr>
        <w:pStyle w:val="Prrafodelista"/>
        <w:tabs>
          <w:tab w:val="left" w:pos="8647"/>
        </w:tabs>
        <w:spacing w:after="0" w:line="360" w:lineRule="auto"/>
        <w:ind w:left="-397"/>
        <w:jc w:val="both"/>
        <w:rPr>
          <w:rFonts w:ascii="Arial" w:hAnsi="Arial" w:cs="Arial"/>
          <w:b/>
          <w:bCs/>
          <w:color w:val="000000" w:themeColor="text1"/>
          <w:sz w:val="24"/>
          <w:szCs w:val="24"/>
        </w:rPr>
      </w:pPr>
    </w:p>
    <w:p w14:paraId="3F4B548C" w14:textId="220C7009" w:rsidR="00D417C2" w:rsidRPr="00D417C2" w:rsidRDefault="000E23E5" w:rsidP="00484865">
      <w:pPr>
        <w:spacing w:after="120" w:line="360" w:lineRule="auto"/>
        <w:ind w:left="-397"/>
        <w:jc w:val="both"/>
        <w:rPr>
          <w:rFonts w:ascii="Arial" w:eastAsia="Calibri" w:hAnsi="Arial" w:cs="Arial"/>
          <w:sz w:val="24"/>
          <w:szCs w:val="24"/>
        </w:rPr>
      </w:pPr>
      <w:r>
        <w:rPr>
          <w:rFonts w:ascii="Arial" w:hAnsi="Arial" w:cs="Arial"/>
          <w:b/>
          <w:bCs/>
          <w:sz w:val="24"/>
          <w:szCs w:val="24"/>
        </w:rPr>
        <w:t xml:space="preserve">Ámbito </w:t>
      </w:r>
      <w:r w:rsidR="00D417C2" w:rsidRPr="00D417C2">
        <w:rPr>
          <w:rFonts w:ascii="Arial" w:hAnsi="Arial" w:cs="Arial"/>
          <w:b/>
          <w:bCs/>
          <w:sz w:val="24"/>
          <w:szCs w:val="24"/>
        </w:rPr>
        <w:t>Internacional</w:t>
      </w:r>
    </w:p>
    <w:p w14:paraId="209A828D" w14:textId="3C1E4666" w:rsidR="00F62CD6" w:rsidRPr="00205F31" w:rsidRDefault="00701D2F" w:rsidP="00484865">
      <w:pPr>
        <w:pStyle w:val="Textonotapie1"/>
        <w:ind w:left="-397"/>
        <w:jc w:val="center"/>
      </w:pPr>
      <w:r>
        <w:rPr>
          <w:rStyle w:val="Referenciasutil"/>
        </w:rPr>
        <w:t xml:space="preserve">                                   </w:t>
      </w:r>
    </w:p>
    <w:p w14:paraId="53D5C689" w14:textId="77777777" w:rsidR="00701D2F" w:rsidRDefault="00701D2F" w:rsidP="006B5A64">
      <w:pPr>
        <w:spacing w:after="0" w:line="360" w:lineRule="auto"/>
        <w:ind w:left="-397"/>
        <w:jc w:val="center"/>
        <w:rPr>
          <w:rFonts w:ascii="Arial" w:hAnsi="Arial" w:cs="Arial"/>
          <w:kern w:val="0"/>
          <w:sz w:val="20"/>
          <w:szCs w:val="24"/>
          <w:lang w:eastAsia="es-MX"/>
          <w14:ligatures w14:val="none"/>
        </w:rPr>
      </w:pPr>
    </w:p>
    <w:p w14:paraId="67906433" w14:textId="77777777" w:rsidR="00746331" w:rsidRPr="00746331" w:rsidRDefault="00746331" w:rsidP="006B5A64">
      <w:pPr>
        <w:spacing w:line="360" w:lineRule="auto"/>
        <w:ind w:left="-397"/>
        <w:jc w:val="both"/>
        <w:rPr>
          <w:rFonts w:ascii="Arial" w:hAnsi="Arial" w:cs="Arial"/>
          <w:kern w:val="0"/>
          <w:sz w:val="24"/>
          <w:szCs w:val="24"/>
        </w:rPr>
      </w:pPr>
      <w:r w:rsidRPr="00746331">
        <w:rPr>
          <w:rFonts w:ascii="Arial" w:hAnsi="Arial" w:cs="Arial"/>
          <w:kern w:val="0"/>
          <w:sz w:val="24"/>
          <w:szCs w:val="24"/>
        </w:rPr>
        <w:t xml:space="preserve">El primer trimestre del ejercicio fiscal 2026 estuvo condicionado por una reconfiguración del panorama macroeconómico global, impulsada, principalmente, por tensiones geopolíticas y disrupciones en la logística internacional. La coyuntura económica fue profundamente alterada por la intervención militar de los Estados Unidos en territorio venezolano a inicios del año, este evento representó un punto de inflexión para el hemisferio occidental al incrementarse la incertidumbre y volatilidad del mercado de materias primas e influir las proyecciones de la estabilidad de la región. </w:t>
      </w:r>
    </w:p>
    <w:p w14:paraId="2960EFE4" w14:textId="77777777" w:rsidR="00746331" w:rsidRPr="00746331" w:rsidRDefault="00746331" w:rsidP="006B5A64">
      <w:pPr>
        <w:spacing w:line="360" w:lineRule="auto"/>
        <w:ind w:left="-397"/>
        <w:jc w:val="both"/>
        <w:rPr>
          <w:rFonts w:ascii="Arial" w:hAnsi="Arial" w:cs="Arial"/>
          <w:kern w:val="0"/>
          <w:sz w:val="24"/>
          <w:szCs w:val="24"/>
        </w:rPr>
      </w:pPr>
      <w:r w:rsidRPr="00746331">
        <w:rPr>
          <w:rFonts w:ascii="Arial" w:hAnsi="Arial" w:cs="Arial"/>
          <w:kern w:val="0"/>
          <w:sz w:val="24"/>
          <w:szCs w:val="24"/>
        </w:rPr>
        <w:lastRenderedPageBreak/>
        <w:t>Dicho suceso derivo en la instauración de una administración de transición, que ha generado incertidumbre sobre la seguridad jurídica de las inversiones y la valoración de activos, lo que eleva las primas de riesgo en América Latina y forzar un ajuste en los modelos de valuación de las operaciones transfronterizas por la inestabilidad de las variables externas.</w:t>
      </w:r>
    </w:p>
    <w:p w14:paraId="06DFBEDF" w14:textId="77777777" w:rsidR="00746331" w:rsidRPr="00746331" w:rsidRDefault="00746331" w:rsidP="006B5A64">
      <w:pPr>
        <w:spacing w:line="360" w:lineRule="auto"/>
        <w:ind w:left="-397"/>
        <w:jc w:val="both"/>
        <w:rPr>
          <w:rFonts w:ascii="Arial" w:hAnsi="Arial" w:cs="Arial"/>
          <w:kern w:val="0"/>
          <w:sz w:val="24"/>
          <w:szCs w:val="24"/>
        </w:rPr>
      </w:pPr>
      <w:r w:rsidRPr="00746331">
        <w:rPr>
          <w:rFonts w:ascii="Arial" w:hAnsi="Arial" w:cs="Arial"/>
          <w:kern w:val="0"/>
          <w:sz w:val="24"/>
          <w:szCs w:val="24"/>
        </w:rPr>
        <w:t xml:space="preserve">De manera paralela, la economía global enfrenta una crisis de suministros por la inseguridad persistente en los corredores marítimos del Medio Oriente, específicamente en el Mar Rojo y el Estrecho de Ormuz. La necesidad de desviar el flujo comercial hacia rutas alternativas, como el Cabo de Buena Esperanza, ha incrementado los costos de flete internacional en proporciones superiores al 20%. Lo cual impacta de forma directa el costo de venta y erosionando los márgenes operativos de las entidades con alta dependencia del comercio exterior. </w:t>
      </w:r>
    </w:p>
    <w:p w14:paraId="50AA1799" w14:textId="77777777" w:rsidR="00746331" w:rsidRPr="00746331" w:rsidRDefault="00746331" w:rsidP="006B5A64">
      <w:pPr>
        <w:spacing w:line="360" w:lineRule="auto"/>
        <w:ind w:left="-397"/>
        <w:jc w:val="both"/>
        <w:rPr>
          <w:rFonts w:ascii="Arial" w:hAnsi="Arial" w:cs="Arial"/>
          <w:kern w:val="0"/>
          <w:sz w:val="24"/>
          <w:szCs w:val="24"/>
        </w:rPr>
      </w:pPr>
      <w:r w:rsidRPr="00746331">
        <w:rPr>
          <w:rFonts w:ascii="Arial" w:hAnsi="Arial" w:cs="Arial"/>
          <w:kern w:val="0"/>
          <w:sz w:val="24"/>
          <w:szCs w:val="24"/>
        </w:rPr>
        <w:t>Este fenómeno no solo ha dilatado los ciclos operativos de inventario, sino que provoca un incremento sustancial en los gastos por primas de seguros y coberturas contra riesgos, obliga a las organizaciones a reevaluar su liquidez y suficiencia de capital de trabajo frente a una cadena de suministro que es considerablemente más costosa y con mayores tiempos de respuesta.</w:t>
      </w:r>
    </w:p>
    <w:p w14:paraId="28583754" w14:textId="77777777" w:rsidR="00746331" w:rsidRPr="00746331" w:rsidRDefault="00746331" w:rsidP="006B5A64">
      <w:pPr>
        <w:spacing w:line="360" w:lineRule="auto"/>
        <w:ind w:left="-397"/>
        <w:jc w:val="both"/>
        <w:rPr>
          <w:rFonts w:ascii="Arial" w:hAnsi="Arial" w:cs="Arial"/>
          <w:kern w:val="0"/>
          <w:sz w:val="24"/>
          <w:szCs w:val="24"/>
        </w:rPr>
      </w:pPr>
      <w:r w:rsidRPr="00746331">
        <w:rPr>
          <w:rFonts w:ascii="Arial" w:hAnsi="Arial" w:cs="Arial"/>
          <w:kern w:val="0"/>
          <w:sz w:val="24"/>
          <w:szCs w:val="24"/>
        </w:rPr>
        <w:t xml:space="preserve">En este escenario, la política monetaria a nivel internacional ha mantenido una postura estrictamente restrictiva, ya que los principales bancos centrales han postergado la flexibilización de las tasas de referencia ante la persistente presión inflacionaria derivada de los choques en los costos de energía y transporte. Respecto a la gestión financiera y contable, implica la continuidad de gastos elevados y la aplicación de tasas de descuento más altas en la evaluación de activos y pruebas de deterioro. Asimismo, la volatilidad cambiaria y el riesgo geopolítico han impulsado la cotización de activos de refugio, como el oro y la plata, a niveles históricos de valoración, lo que muestra una estrategia de preservación de capital ante el contexto económico global. </w:t>
      </w:r>
    </w:p>
    <w:p w14:paraId="5B4F56D3" w14:textId="77777777" w:rsidR="00746331" w:rsidRPr="00746331" w:rsidRDefault="00746331" w:rsidP="006B5A64">
      <w:pPr>
        <w:spacing w:line="360" w:lineRule="auto"/>
        <w:ind w:left="-397"/>
        <w:jc w:val="both"/>
        <w:rPr>
          <w:rFonts w:ascii="Arial" w:hAnsi="Arial" w:cs="Arial"/>
          <w:kern w:val="0"/>
          <w:sz w:val="24"/>
          <w:szCs w:val="24"/>
        </w:rPr>
      </w:pPr>
      <w:r w:rsidRPr="00746331">
        <w:rPr>
          <w:rFonts w:ascii="Arial" w:hAnsi="Arial" w:cs="Arial"/>
          <w:kern w:val="0"/>
          <w:sz w:val="24"/>
          <w:szCs w:val="24"/>
        </w:rPr>
        <w:t xml:space="preserve">Finalmente, el incremento en el gasto público orientado a la defensa y la asistencia en las regiones en conflicto plantea desafíos fiscales que podrían derivar en ajustes tributarios futuros, y se consolida un entorno de incertidumbre que demanda un análisis </w:t>
      </w:r>
      <w:r w:rsidRPr="00746331">
        <w:rPr>
          <w:rFonts w:ascii="Arial" w:hAnsi="Arial" w:cs="Arial"/>
          <w:kern w:val="0"/>
          <w:sz w:val="24"/>
          <w:szCs w:val="24"/>
        </w:rPr>
        <w:lastRenderedPageBreak/>
        <w:t>riguroso de las provisiones y los riesgos contingentes en los estados financieros correspondientes a este periodo.</w:t>
      </w:r>
    </w:p>
    <w:p w14:paraId="0DC2B72B" w14:textId="77777777" w:rsidR="00746331" w:rsidRPr="00746331" w:rsidRDefault="00746331" w:rsidP="006B5A64">
      <w:pPr>
        <w:spacing w:line="360" w:lineRule="auto"/>
        <w:ind w:left="-397"/>
        <w:jc w:val="both"/>
        <w:rPr>
          <w:rFonts w:ascii="Arial" w:hAnsi="Arial" w:cs="Arial"/>
          <w:kern w:val="0"/>
          <w:sz w:val="24"/>
          <w:szCs w:val="24"/>
        </w:rPr>
      </w:pPr>
      <w:r w:rsidRPr="00746331">
        <w:rPr>
          <w:rFonts w:ascii="Arial" w:hAnsi="Arial" w:cs="Arial"/>
          <w:kern w:val="0"/>
          <w:sz w:val="24"/>
          <w:szCs w:val="24"/>
        </w:rPr>
        <w:t>El Producto Mundial, muestra una trayectoria descendente, al pasar de un crecimiento del 3.4% en 2025 a un 3.1% en 2026. Esta reducción refleja el impacto de las disrupciones logísticas en los principales corredores marítimos y la incertidumbre derivada del conflicto bélico e intervención en Venezuela. No obstante, se proyecta una leve recuperación hacia el 3.2% en 2027, lo que sugiere que los mercados financieros y las cadenas de valor poseen una resiliencia estructural capaz de absorber los choques de oferta observados durante el trimestre.</w:t>
      </w:r>
    </w:p>
    <w:p w14:paraId="01F9B049" w14:textId="77777777" w:rsidR="00746331" w:rsidRPr="00746331" w:rsidRDefault="00746331" w:rsidP="006B5A64">
      <w:pPr>
        <w:spacing w:line="360" w:lineRule="auto"/>
        <w:ind w:left="-397"/>
        <w:jc w:val="both"/>
        <w:rPr>
          <w:rFonts w:ascii="Arial" w:hAnsi="Arial" w:cs="Arial"/>
          <w:kern w:val="0"/>
          <w:sz w:val="24"/>
          <w:szCs w:val="24"/>
        </w:rPr>
      </w:pPr>
      <w:r w:rsidRPr="00746331">
        <w:rPr>
          <w:rFonts w:ascii="Arial" w:hAnsi="Arial" w:cs="Arial"/>
          <w:kern w:val="0"/>
          <w:sz w:val="24"/>
          <w:szCs w:val="24"/>
        </w:rPr>
        <w:t>Al realizar un desglose comparativo entre los dos grandes bloques económicos, se observa una disparidad significativa en sus ritmos de expansión y en su sensibilidad ante el entorno geopolítico. Las economías avanzadas presentan un desempeño caracterizado por el estancamiento y la pérdida de dinamismo progresivo; tras un crecimiento moderado del 1.9% en 2025, esta economía desciende al 1.8% en 2026 y proyecta un cierre de apenas 1.7% para 2027. Este comportamiento evidencia una incapacidad estructural para recuperar los niveles de crecimiento prepandemia, condicionada por políticas monetarias restrictivas que han encarecido el crédito y por un consumo privado que se ha visto erosionado por los costos de energía. En este grupo, la debilidad del crecimiento es constante, lo que sitúa a estas economías en una posición de vulnerabilidad frente a posibles nuevos incrementos en los precios de las materias primas.</w:t>
      </w:r>
    </w:p>
    <w:p w14:paraId="62EC94D1" w14:textId="77777777" w:rsidR="00746331" w:rsidRPr="00746331" w:rsidRDefault="00746331" w:rsidP="006B5A64">
      <w:pPr>
        <w:spacing w:line="360" w:lineRule="auto"/>
        <w:ind w:left="-397"/>
        <w:jc w:val="both"/>
        <w:rPr>
          <w:rFonts w:ascii="Arial" w:hAnsi="Arial" w:cs="Arial"/>
          <w:kern w:val="0"/>
          <w:sz w:val="24"/>
          <w:szCs w:val="24"/>
        </w:rPr>
      </w:pPr>
      <w:r w:rsidRPr="00746331">
        <w:rPr>
          <w:rFonts w:ascii="Arial" w:hAnsi="Arial" w:cs="Arial"/>
          <w:kern w:val="0"/>
          <w:sz w:val="24"/>
          <w:szCs w:val="24"/>
        </w:rPr>
        <w:t xml:space="preserve">En contraste, las economías de mercados emergentes y en desarrollo, continúan operando como el principal motor de la economía mundial, a pesar de mostrar una sensibilidad mucho más aguda a los sucesos internacionales. Estas registran una reducción, ya que pasan de 4.4% en 2025 a un 3.9% en 2026, lo que representa una contracción de 50 puntos en su ritmo de crecimiento. Esta caída está directamente vinculada a la exposición de estos países a la volatilidad cambiaria y a los incrementos en los fletes marítimos analizados anteriormente. Sin embargo, a diferencia de las economías avanzadas, los mercados emergentes demuestran una capacidad de recuperación, con una proyección del 4.2% en 2027. La brecha de crecimiento entre </w:t>
      </w:r>
      <w:r w:rsidRPr="00746331">
        <w:rPr>
          <w:rFonts w:ascii="Arial" w:hAnsi="Arial" w:cs="Arial"/>
          <w:kern w:val="0"/>
          <w:sz w:val="24"/>
          <w:szCs w:val="24"/>
        </w:rPr>
        <w:lastRenderedPageBreak/>
        <w:t>ambos bloques se mantiene por encima de los dos puntos porcentuales, lo que confirma que el dinamismo económico global depende estrictamente de la estabilidad en las regiones en desarrollo.</w:t>
      </w:r>
    </w:p>
    <w:p w14:paraId="6A42739C" w14:textId="77777777" w:rsidR="00DE6D6B" w:rsidRPr="00DE6D6B" w:rsidRDefault="00DE6D6B" w:rsidP="00DE6D6B">
      <w:pPr>
        <w:spacing w:after="0" w:line="276" w:lineRule="auto"/>
        <w:jc w:val="center"/>
        <w:rPr>
          <w:rFonts w:ascii="Arial" w:hAnsi="Arial" w:cs="Arial"/>
          <w:kern w:val="0"/>
          <w:sz w:val="20"/>
          <w:szCs w:val="20"/>
        </w:rPr>
      </w:pPr>
      <w:r w:rsidRPr="00DE6D6B">
        <w:rPr>
          <w:rFonts w:ascii="Arial" w:hAnsi="Arial" w:cs="Arial"/>
          <w:kern w:val="0"/>
          <w:sz w:val="20"/>
          <w:szCs w:val="20"/>
          <w:lang w:eastAsia="es-MX"/>
        </w:rPr>
        <w:t>Gráfico 1. Global: Crecimiento económico en 2025 y proyecciones para 2026 - 2027 (porcentual)</w:t>
      </w:r>
    </w:p>
    <w:p w14:paraId="37F7BA0D" w14:textId="42CA9121" w:rsidR="00E2635A" w:rsidRPr="00296835" w:rsidRDefault="00DE6D6B" w:rsidP="00484865">
      <w:pPr>
        <w:spacing w:line="360" w:lineRule="auto"/>
        <w:ind w:left="-397"/>
        <w:jc w:val="both"/>
        <w:rPr>
          <w:rFonts w:ascii="Arial" w:eastAsia="Times New Roman" w:hAnsi="Arial" w:cs="Arial"/>
          <w:kern w:val="0"/>
          <w:sz w:val="24"/>
          <w:szCs w:val="24"/>
          <w:lang w:eastAsia="es-MX"/>
          <w14:ligatures w14:val="none"/>
        </w:rPr>
      </w:pPr>
      <w:r>
        <w:rPr>
          <w:noProof/>
        </w:rPr>
        <w:drawing>
          <wp:inline distT="0" distB="0" distL="0" distR="0" wp14:anchorId="702E8989" wp14:editId="0E565788">
            <wp:extent cx="5943600" cy="1799590"/>
            <wp:effectExtent l="0" t="0" r="0" b="10160"/>
            <wp:docPr id="1975155043" name="Gráfico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F8A9CDC" w14:textId="77777777" w:rsidR="00DE6D6B" w:rsidRPr="00DE6D6B" w:rsidRDefault="00DE6D6B" w:rsidP="00DE6D6B">
      <w:pPr>
        <w:spacing w:after="0" w:line="276" w:lineRule="auto"/>
        <w:jc w:val="center"/>
        <w:rPr>
          <w:rFonts w:ascii="Arial" w:hAnsi="Arial" w:cs="Arial"/>
          <w:kern w:val="0"/>
          <w:sz w:val="20"/>
          <w:szCs w:val="24"/>
          <w:lang w:eastAsia="es-MX"/>
          <w14:ligatures w14:val="none"/>
        </w:rPr>
      </w:pPr>
      <w:r w:rsidRPr="00DE6D6B">
        <w:rPr>
          <w:rFonts w:ascii="Arial" w:hAnsi="Arial" w:cs="Arial"/>
          <w:kern w:val="0"/>
          <w:sz w:val="20"/>
          <w:szCs w:val="24"/>
          <w:lang w:eastAsia="es-MX"/>
          <w14:ligatures w14:val="none"/>
        </w:rPr>
        <w:t>Fuente: Elaborado con información del Fondo Monetario Internacional, (FMI, 2026).</w:t>
      </w:r>
    </w:p>
    <w:p w14:paraId="60000C0F" w14:textId="77777777" w:rsidR="00B2127D" w:rsidRDefault="00B2127D" w:rsidP="00E2635A">
      <w:pPr>
        <w:spacing w:after="120" w:line="360" w:lineRule="auto"/>
        <w:jc w:val="center"/>
        <w:rPr>
          <w:rFonts w:ascii="Arial" w:hAnsi="Arial" w:cs="Arial"/>
          <w:noProof/>
          <w:sz w:val="24"/>
          <w:szCs w:val="24"/>
          <w:lang w:eastAsia="es-MX"/>
        </w:rPr>
      </w:pPr>
    </w:p>
    <w:p w14:paraId="53F42158" w14:textId="50D16A6E" w:rsidR="00DE6D6B" w:rsidRPr="00DE6D6B" w:rsidRDefault="00DE6D6B" w:rsidP="006B5A64">
      <w:pPr>
        <w:pStyle w:val="NormalWeb"/>
        <w:spacing w:line="360" w:lineRule="auto"/>
        <w:ind w:left="-397"/>
        <w:jc w:val="both"/>
        <w:rPr>
          <w:rFonts w:ascii="Arial" w:hAnsi="Arial" w:cs="Arial"/>
        </w:rPr>
      </w:pPr>
      <w:r w:rsidRPr="00DE6D6B">
        <w:rPr>
          <w:rFonts w:ascii="Arial" w:hAnsi="Arial" w:cs="Arial"/>
        </w:rPr>
        <w:t xml:space="preserve">El análisis pormenorizado de las economías nacionales para el ejercicio 2026 revela un desempeño asimétrico que profundiza las brechas de competitividad y riesgo entre las principales potencias y los mercados emergentes. Los datos destacan la resiliencia de Estados Unidos, que se proyecta como una excepción dentro del bloque avanzado con un crecimiento del 2.3% en 2026, superando el registro del año anterior. Esta aceleración en un entorno de crisis global se explica, desde una perspectiva macroeconómica, por su rol dominante en la reconfiguración energética tras la intervención en Venezuela y menor dependencia de las rutas comerciales de Oriente Medio. </w:t>
      </w:r>
    </w:p>
    <w:p w14:paraId="57B01066" w14:textId="77777777" w:rsidR="00DE6D6B" w:rsidRPr="00DE6D6B" w:rsidRDefault="00DE6D6B" w:rsidP="006B5A64">
      <w:pPr>
        <w:spacing w:before="100" w:beforeAutospacing="1" w:after="100" w:afterAutospacing="1" w:line="360" w:lineRule="auto"/>
        <w:ind w:left="-397"/>
        <w:jc w:val="both"/>
        <w:rPr>
          <w:rFonts w:ascii="Arial" w:hAnsi="Arial" w:cs="Arial"/>
          <w:kern w:val="0"/>
          <w:sz w:val="24"/>
          <w:szCs w:val="24"/>
        </w:rPr>
      </w:pPr>
      <w:r w:rsidRPr="00DE6D6B">
        <w:rPr>
          <w:rFonts w:ascii="Arial" w:hAnsi="Arial" w:cs="Arial"/>
          <w:kern w:val="0"/>
          <w:sz w:val="24"/>
          <w:szCs w:val="24"/>
        </w:rPr>
        <w:t>En contraste, la zona del euro muestra una debilidad estructural, con un crecimiento proyectado de apenas 1.1%. Dentro de este bloque, la disparidad es evidente: mientras España mantiene un dinamismo relativo del 2.1, Alemania se sitúa en un estado de semiestancamiento con un 0.8%, lo que evidencia el alto costo de la energía y la parálisis logística de la industrial de Europa.</w:t>
      </w:r>
    </w:p>
    <w:p w14:paraId="1871F452" w14:textId="77777777" w:rsidR="00DE6D6B" w:rsidRPr="00DE6D6B" w:rsidRDefault="00DE6D6B" w:rsidP="006B5A64">
      <w:pPr>
        <w:spacing w:before="100" w:beforeAutospacing="1" w:after="100" w:afterAutospacing="1" w:line="360" w:lineRule="auto"/>
        <w:ind w:left="-397"/>
        <w:jc w:val="both"/>
        <w:rPr>
          <w:rFonts w:ascii="Arial" w:hAnsi="Arial" w:cs="Arial"/>
          <w:kern w:val="0"/>
          <w:sz w:val="24"/>
          <w:szCs w:val="24"/>
        </w:rPr>
      </w:pPr>
      <w:r w:rsidRPr="00DE6D6B">
        <w:rPr>
          <w:rFonts w:ascii="Arial" w:hAnsi="Arial" w:cs="Arial"/>
          <w:kern w:val="0"/>
          <w:sz w:val="24"/>
          <w:szCs w:val="24"/>
        </w:rPr>
        <w:t xml:space="preserve">En el continente asiático, revela liderazgo en el crecimiento global, India, a pesar de enfrentar una desaceleración técnica al pasar del 7.6% al 6.5%, mantiene tasas que </w:t>
      </w:r>
      <w:r w:rsidRPr="00DE6D6B">
        <w:rPr>
          <w:rFonts w:ascii="Arial" w:hAnsi="Arial" w:cs="Arial"/>
          <w:kern w:val="0"/>
          <w:sz w:val="24"/>
          <w:szCs w:val="24"/>
        </w:rPr>
        <w:lastRenderedPageBreak/>
        <w:t>triplican a las de las economías occidentales. Por su parte, China refleja el agotamiento de su modelo tradicional con una caída al 4.4% en 2026, su nivel más bajo en décadas (fuera de periodos de pandemia). Este dato es crítico, ya que significa una menor dinámica que implica una menor demanda de materias primas y un ajuste en las valoraciones de las empresas con exposición directa al mercado asiático. Rusia, por otro lado, se mantiene en una trayectoria de crecimiento marginal del 1.1%, reflejando una economía altamente militarizada y aislada de los circuitos financieros principales, pero resiliente debido a sus exportaciones energéticas hacia Asia.</w:t>
      </w:r>
    </w:p>
    <w:p w14:paraId="24C3BD06" w14:textId="66B6AA67" w:rsidR="00390D9A" w:rsidRPr="00DE23FE" w:rsidRDefault="00390D9A" w:rsidP="006B5A64">
      <w:pPr>
        <w:ind w:left="-397"/>
        <w:jc w:val="both"/>
        <w:rPr>
          <w:rFonts w:ascii="Arial" w:hAnsi="Arial" w:cs="Arial"/>
          <w:kern w:val="0"/>
          <w:sz w:val="16"/>
          <w:szCs w:val="16"/>
          <w:lang w:val="es-419"/>
        </w:rPr>
      </w:pPr>
    </w:p>
    <w:p w14:paraId="41CC6624" w14:textId="77777777" w:rsidR="00DE6D6B" w:rsidRPr="00DE6D6B" w:rsidRDefault="00DE6D6B" w:rsidP="006B5A64">
      <w:pPr>
        <w:spacing w:before="100" w:beforeAutospacing="1" w:after="100" w:afterAutospacing="1" w:line="360" w:lineRule="auto"/>
        <w:ind w:left="-397"/>
        <w:jc w:val="both"/>
        <w:rPr>
          <w:rFonts w:ascii="Arial" w:hAnsi="Arial" w:cs="Arial"/>
          <w:kern w:val="0"/>
          <w:sz w:val="24"/>
          <w:szCs w:val="24"/>
        </w:rPr>
      </w:pPr>
      <w:r w:rsidRPr="00DE6D6B">
        <w:rPr>
          <w:rFonts w:ascii="Arial" w:hAnsi="Arial" w:cs="Arial"/>
          <w:kern w:val="0"/>
          <w:sz w:val="24"/>
          <w:szCs w:val="24"/>
        </w:rPr>
        <w:t>En el contexto de América Latina, se observa una contradicción estadística de alto interés para la planificación financiera regional. México presenta una trayectoria de recuperación, ascendiendo de un crecimiento de 0.6% en 2025 a un 1.6% en 2026, impulsado por su integración comercial con Estados Unidos y la captación de inversiones que buscan alejarse de las zonas de conflicto transoceánico. Esta tendencia contrasta con el desempeño de Brasil, que experimenta un retroceso. Esta divergencia sugiere que, mientras México se beneficia de la estabilidad del bloque norteamericano, Brasil enfrenta mayores retos por la volatilidad de los precios de las materias primas y la fuga de capitales hacia activos de menor riesgo.</w:t>
      </w:r>
    </w:p>
    <w:p w14:paraId="59775263" w14:textId="2C245CB8" w:rsidR="00DE6D6B" w:rsidRDefault="00DE6D6B" w:rsidP="006B5A64">
      <w:pPr>
        <w:spacing w:before="100" w:beforeAutospacing="1" w:after="100" w:afterAutospacing="1" w:line="360" w:lineRule="auto"/>
        <w:ind w:left="-397"/>
        <w:jc w:val="both"/>
        <w:rPr>
          <w:rFonts w:ascii="Arial" w:hAnsi="Arial" w:cs="Arial"/>
          <w:kern w:val="0"/>
          <w:sz w:val="24"/>
          <w:szCs w:val="24"/>
        </w:rPr>
      </w:pPr>
      <w:r w:rsidRPr="00DE6D6B">
        <w:rPr>
          <w:rFonts w:ascii="Arial" w:hAnsi="Arial" w:cs="Arial"/>
          <w:kern w:val="0"/>
          <w:sz w:val="24"/>
          <w:szCs w:val="24"/>
        </w:rPr>
        <w:t>Por último, el análisis de las economías de Oriente Medio como Arabia Saudita, confirma el impacto directo que los bloqueos en las rutas marítimas y la inseguridad regional ha tenido sobre las naciones exportadoras de crudo. En resumen, el panorama nacional para 2026 dictamina que la ubicación geográfica y la alineación política son factores determinantes en la solvencia económica. Por lo que estos datos obligan a realizar provisiones diferenciadas, mientras que los activos vinculados a la economía estadounidense y el mercado mexicano muestran señales de estabilidad, las operaciones vinculadas a Europa central y el gigante chino deben ser evaluadas bajo un criterio de prudencia extrema debido a la fragilidad de sus proyecciones de crecimiento.</w:t>
      </w:r>
    </w:p>
    <w:p w14:paraId="0A05C5F4" w14:textId="77777777" w:rsidR="006B5A64" w:rsidRPr="00DE6D6B" w:rsidRDefault="006B5A64" w:rsidP="006B5A64">
      <w:pPr>
        <w:spacing w:before="100" w:beforeAutospacing="1" w:after="100" w:afterAutospacing="1" w:line="360" w:lineRule="auto"/>
        <w:ind w:left="-397"/>
        <w:jc w:val="both"/>
        <w:rPr>
          <w:rFonts w:ascii="Arial" w:hAnsi="Arial" w:cs="Arial"/>
          <w:kern w:val="0"/>
          <w:sz w:val="24"/>
          <w:szCs w:val="24"/>
        </w:rPr>
      </w:pPr>
    </w:p>
    <w:p w14:paraId="52D24BED" w14:textId="77777777" w:rsidR="00DE6D6B" w:rsidRPr="00DE6D6B" w:rsidRDefault="00DE6D6B" w:rsidP="00DE6D6B">
      <w:pPr>
        <w:spacing w:after="0" w:line="276" w:lineRule="auto"/>
        <w:jc w:val="center"/>
        <w:rPr>
          <w:rFonts w:ascii="Arial" w:hAnsi="Arial" w:cs="Arial"/>
          <w:kern w:val="0"/>
          <w:sz w:val="20"/>
          <w:szCs w:val="20"/>
        </w:rPr>
      </w:pPr>
      <w:r w:rsidRPr="00DE6D6B">
        <w:rPr>
          <w:rFonts w:ascii="Arial" w:hAnsi="Arial" w:cs="Arial"/>
          <w:kern w:val="0"/>
          <w:sz w:val="20"/>
          <w:szCs w:val="20"/>
          <w:lang w:eastAsia="es-MX"/>
        </w:rPr>
        <w:lastRenderedPageBreak/>
        <w:t>Tabla 1. Global: Crecimiento económico en 2025 y proyecciones para 2026 - 2027 (porcentual)</w:t>
      </w:r>
    </w:p>
    <w:tbl>
      <w:tblPr>
        <w:tblW w:w="5000" w:type="pct"/>
        <w:tblCellMar>
          <w:left w:w="70" w:type="dxa"/>
          <w:right w:w="70" w:type="dxa"/>
        </w:tblCellMar>
        <w:tblLook w:val="04A0" w:firstRow="1" w:lastRow="0" w:firstColumn="1" w:lastColumn="0" w:noHBand="0" w:noVBand="1"/>
      </w:tblPr>
      <w:tblGrid>
        <w:gridCol w:w="1456"/>
        <w:gridCol w:w="875"/>
        <w:gridCol w:w="875"/>
        <w:gridCol w:w="875"/>
        <w:gridCol w:w="365"/>
        <w:gridCol w:w="1749"/>
        <w:gridCol w:w="875"/>
        <w:gridCol w:w="875"/>
        <w:gridCol w:w="873"/>
      </w:tblGrid>
      <w:tr w:rsidR="00DE6D6B" w:rsidRPr="00DE6D6B" w14:paraId="4A193896" w14:textId="77777777" w:rsidTr="00AA60CC">
        <w:trPr>
          <w:trHeight w:val="20"/>
        </w:trPr>
        <w:tc>
          <w:tcPr>
            <w:tcW w:w="826"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20EA3E8D" w14:textId="77777777" w:rsidR="00DE6D6B" w:rsidRPr="00DE6D6B" w:rsidRDefault="00DE6D6B" w:rsidP="00DE6D6B">
            <w:pPr>
              <w:spacing w:after="0" w:line="240" w:lineRule="auto"/>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 </w:t>
            </w:r>
          </w:p>
        </w:tc>
        <w:tc>
          <w:tcPr>
            <w:tcW w:w="496" w:type="pct"/>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556E742C"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2025</w:t>
            </w:r>
          </w:p>
        </w:tc>
        <w:tc>
          <w:tcPr>
            <w:tcW w:w="496" w:type="pct"/>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096BAABB"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2026</w:t>
            </w:r>
          </w:p>
        </w:tc>
        <w:tc>
          <w:tcPr>
            <w:tcW w:w="496" w:type="pct"/>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02818D3F"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2027</w:t>
            </w:r>
          </w:p>
        </w:tc>
        <w:tc>
          <w:tcPr>
            <w:tcW w:w="207" w:type="pct"/>
            <w:tcBorders>
              <w:top w:val="nil"/>
              <w:left w:val="nil"/>
              <w:bottom w:val="nil"/>
              <w:right w:val="nil"/>
            </w:tcBorders>
            <w:shd w:val="clear" w:color="auto" w:fill="auto"/>
            <w:noWrap/>
            <w:vAlign w:val="bottom"/>
            <w:hideMark/>
          </w:tcPr>
          <w:p w14:paraId="3F145E0A"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p>
        </w:tc>
        <w:tc>
          <w:tcPr>
            <w:tcW w:w="992" w:type="pct"/>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0B68694D" w14:textId="77777777" w:rsidR="00DE6D6B" w:rsidRPr="00DE6D6B" w:rsidRDefault="00DE6D6B" w:rsidP="00DE6D6B">
            <w:pPr>
              <w:spacing w:after="0" w:line="240" w:lineRule="auto"/>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 </w:t>
            </w:r>
          </w:p>
        </w:tc>
        <w:tc>
          <w:tcPr>
            <w:tcW w:w="496" w:type="pct"/>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3F9C53EA"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2025</w:t>
            </w:r>
          </w:p>
        </w:tc>
        <w:tc>
          <w:tcPr>
            <w:tcW w:w="496" w:type="pct"/>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6B4C0089"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2026</w:t>
            </w:r>
          </w:p>
        </w:tc>
        <w:tc>
          <w:tcPr>
            <w:tcW w:w="495" w:type="pct"/>
            <w:tcBorders>
              <w:top w:val="single" w:sz="8" w:space="0" w:color="000000"/>
              <w:left w:val="nil"/>
              <w:bottom w:val="single" w:sz="8" w:space="0" w:color="000000"/>
              <w:right w:val="single" w:sz="8" w:space="0" w:color="000000"/>
            </w:tcBorders>
            <w:shd w:val="clear" w:color="auto" w:fill="D9D9D9" w:themeFill="background1" w:themeFillShade="D9"/>
            <w:vAlign w:val="center"/>
            <w:hideMark/>
          </w:tcPr>
          <w:p w14:paraId="5DBD8160"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2027</w:t>
            </w:r>
          </w:p>
        </w:tc>
      </w:tr>
      <w:tr w:rsidR="00DE6D6B" w:rsidRPr="00DE6D6B" w14:paraId="09090D56" w14:textId="77777777" w:rsidTr="00AA60CC">
        <w:trPr>
          <w:trHeight w:val="20"/>
        </w:trPr>
        <w:tc>
          <w:tcPr>
            <w:tcW w:w="826" w:type="pct"/>
            <w:tcBorders>
              <w:top w:val="nil"/>
              <w:left w:val="single" w:sz="8" w:space="0" w:color="000000"/>
              <w:bottom w:val="single" w:sz="8" w:space="0" w:color="000000"/>
              <w:right w:val="single" w:sz="8" w:space="0" w:color="000000"/>
            </w:tcBorders>
            <w:shd w:val="clear" w:color="auto" w:fill="auto"/>
            <w:vAlign w:val="center"/>
            <w:hideMark/>
          </w:tcPr>
          <w:p w14:paraId="449C9DDF" w14:textId="77777777" w:rsidR="00DE6D6B" w:rsidRPr="00DE6D6B" w:rsidRDefault="00DE6D6B" w:rsidP="00DE6D6B">
            <w:pPr>
              <w:spacing w:after="0" w:line="240" w:lineRule="auto"/>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Producto mundial</w:t>
            </w:r>
          </w:p>
        </w:tc>
        <w:tc>
          <w:tcPr>
            <w:tcW w:w="496" w:type="pct"/>
            <w:tcBorders>
              <w:top w:val="nil"/>
              <w:left w:val="nil"/>
              <w:bottom w:val="single" w:sz="8" w:space="0" w:color="000000"/>
              <w:right w:val="single" w:sz="8" w:space="0" w:color="000000"/>
            </w:tcBorders>
            <w:shd w:val="clear" w:color="auto" w:fill="auto"/>
            <w:vAlign w:val="center"/>
            <w:hideMark/>
          </w:tcPr>
          <w:p w14:paraId="47614383"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3.4</w:t>
            </w:r>
          </w:p>
        </w:tc>
        <w:tc>
          <w:tcPr>
            <w:tcW w:w="496" w:type="pct"/>
            <w:tcBorders>
              <w:top w:val="nil"/>
              <w:left w:val="nil"/>
              <w:bottom w:val="single" w:sz="8" w:space="0" w:color="000000"/>
              <w:right w:val="single" w:sz="8" w:space="0" w:color="000000"/>
            </w:tcBorders>
            <w:shd w:val="clear" w:color="auto" w:fill="auto"/>
            <w:vAlign w:val="center"/>
            <w:hideMark/>
          </w:tcPr>
          <w:p w14:paraId="7967C7B6"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3.1</w:t>
            </w:r>
          </w:p>
        </w:tc>
        <w:tc>
          <w:tcPr>
            <w:tcW w:w="496" w:type="pct"/>
            <w:tcBorders>
              <w:top w:val="nil"/>
              <w:left w:val="nil"/>
              <w:bottom w:val="single" w:sz="8" w:space="0" w:color="000000"/>
              <w:right w:val="single" w:sz="8" w:space="0" w:color="000000"/>
            </w:tcBorders>
            <w:shd w:val="clear" w:color="auto" w:fill="auto"/>
            <w:vAlign w:val="center"/>
            <w:hideMark/>
          </w:tcPr>
          <w:p w14:paraId="1D658A21"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3.2</w:t>
            </w:r>
          </w:p>
        </w:tc>
        <w:tc>
          <w:tcPr>
            <w:tcW w:w="207" w:type="pct"/>
            <w:tcBorders>
              <w:top w:val="nil"/>
              <w:left w:val="nil"/>
              <w:bottom w:val="nil"/>
              <w:right w:val="nil"/>
            </w:tcBorders>
            <w:shd w:val="clear" w:color="auto" w:fill="auto"/>
            <w:noWrap/>
            <w:vAlign w:val="bottom"/>
            <w:hideMark/>
          </w:tcPr>
          <w:p w14:paraId="5B70D4F3"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p>
        </w:tc>
        <w:tc>
          <w:tcPr>
            <w:tcW w:w="992" w:type="pct"/>
            <w:tcBorders>
              <w:top w:val="nil"/>
              <w:left w:val="single" w:sz="8" w:space="0" w:color="000000"/>
              <w:bottom w:val="single" w:sz="8" w:space="0" w:color="000000"/>
              <w:right w:val="single" w:sz="8" w:space="0" w:color="000000"/>
            </w:tcBorders>
            <w:shd w:val="clear" w:color="auto" w:fill="auto"/>
            <w:vAlign w:val="center"/>
            <w:hideMark/>
          </w:tcPr>
          <w:p w14:paraId="12A65AA0" w14:textId="77777777" w:rsidR="00DE6D6B" w:rsidRPr="00DE6D6B" w:rsidRDefault="00DE6D6B" w:rsidP="00DE6D6B">
            <w:pPr>
              <w:spacing w:after="0" w:line="240" w:lineRule="auto"/>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Economías de mercados emergentes y en desarrollo</w:t>
            </w:r>
          </w:p>
        </w:tc>
        <w:tc>
          <w:tcPr>
            <w:tcW w:w="496" w:type="pct"/>
            <w:tcBorders>
              <w:top w:val="nil"/>
              <w:left w:val="nil"/>
              <w:bottom w:val="single" w:sz="8" w:space="0" w:color="000000"/>
              <w:right w:val="single" w:sz="8" w:space="0" w:color="000000"/>
            </w:tcBorders>
            <w:shd w:val="clear" w:color="auto" w:fill="auto"/>
            <w:vAlign w:val="center"/>
            <w:hideMark/>
          </w:tcPr>
          <w:p w14:paraId="12EF78A1"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4.4</w:t>
            </w:r>
          </w:p>
        </w:tc>
        <w:tc>
          <w:tcPr>
            <w:tcW w:w="496" w:type="pct"/>
            <w:tcBorders>
              <w:top w:val="nil"/>
              <w:left w:val="nil"/>
              <w:bottom w:val="single" w:sz="8" w:space="0" w:color="000000"/>
              <w:right w:val="single" w:sz="8" w:space="0" w:color="000000"/>
            </w:tcBorders>
            <w:shd w:val="clear" w:color="auto" w:fill="auto"/>
            <w:vAlign w:val="center"/>
            <w:hideMark/>
          </w:tcPr>
          <w:p w14:paraId="07F37D6D"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3.9</w:t>
            </w:r>
          </w:p>
        </w:tc>
        <w:tc>
          <w:tcPr>
            <w:tcW w:w="495" w:type="pct"/>
            <w:tcBorders>
              <w:top w:val="nil"/>
              <w:left w:val="nil"/>
              <w:bottom w:val="single" w:sz="8" w:space="0" w:color="000000"/>
              <w:right w:val="single" w:sz="8" w:space="0" w:color="000000"/>
            </w:tcBorders>
            <w:shd w:val="clear" w:color="auto" w:fill="auto"/>
            <w:vAlign w:val="center"/>
            <w:hideMark/>
          </w:tcPr>
          <w:p w14:paraId="231F7645"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4.2</w:t>
            </w:r>
          </w:p>
        </w:tc>
      </w:tr>
      <w:tr w:rsidR="00DE6D6B" w:rsidRPr="00DE6D6B" w14:paraId="2AB5E2F9" w14:textId="77777777" w:rsidTr="00AA60CC">
        <w:trPr>
          <w:trHeight w:val="20"/>
        </w:trPr>
        <w:tc>
          <w:tcPr>
            <w:tcW w:w="826" w:type="pct"/>
            <w:tcBorders>
              <w:top w:val="nil"/>
              <w:left w:val="single" w:sz="8" w:space="0" w:color="000000"/>
              <w:bottom w:val="single" w:sz="8" w:space="0" w:color="000000"/>
              <w:right w:val="single" w:sz="8" w:space="0" w:color="000000"/>
            </w:tcBorders>
            <w:shd w:val="clear" w:color="auto" w:fill="auto"/>
            <w:vAlign w:val="center"/>
            <w:hideMark/>
          </w:tcPr>
          <w:p w14:paraId="3B514EAB" w14:textId="77777777" w:rsidR="00DE6D6B" w:rsidRPr="00DE6D6B" w:rsidRDefault="00DE6D6B" w:rsidP="00DE6D6B">
            <w:pPr>
              <w:spacing w:after="0" w:line="240" w:lineRule="auto"/>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Economías avanzadas</w:t>
            </w:r>
          </w:p>
        </w:tc>
        <w:tc>
          <w:tcPr>
            <w:tcW w:w="496" w:type="pct"/>
            <w:tcBorders>
              <w:top w:val="nil"/>
              <w:left w:val="nil"/>
              <w:bottom w:val="single" w:sz="8" w:space="0" w:color="000000"/>
              <w:right w:val="single" w:sz="8" w:space="0" w:color="000000"/>
            </w:tcBorders>
            <w:shd w:val="clear" w:color="auto" w:fill="auto"/>
            <w:vAlign w:val="center"/>
            <w:hideMark/>
          </w:tcPr>
          <w:p w14:paraId="3943D954"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1.9</w:t>
            </w:r>
          </w:p>
        </w:tc>
        <w:tc>
          <w:tcPr>
            <w:tcW w:w="496" w:type="pct"/>
            <w:tcBorders>
              <w:top w:val="nil"/>
              <w:left w:val="nil"/>
              <w:bottom w:val="single" w:sz="8" w:space="0" w:color="000000"/>
              <w:right w:val="single" w:sz="8" w:space="0" w:color="000000"/>
            </w:tcBorders>
            <w:shd w:val="clear" w:color="auto" w:fill="auto"/>
            <w:vAlign w:val="center"/>
            <w:hideMark/>
          </w:tcPr>
          <w:p w14:paraId="7AF531DF"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1.8</w:t>
            </w:r>
          </w:p>
        </w:tc>
        <w:tc>
          <w:tcPr>
            <w:tcW w:w="496" w:type="pct"/>
            <w:tcBorders>
              <w:top w:val="nil"/>
              <w:left w:val="nil"/>
              <w:bottom w:val="single" w:sz="8" w:space="0" w:color="000000"/>
              <w:right w:val="single" w:sz="8" w:space="0" w:color="000000"/>
            </w:tcBorders>
            <w:shd w:val="clear" w:color="auto" w:fill="auto"/>
            <w:vAlign w:val="center"/>
            <w:hideMark/>
          </w:tcPr>
          <w:p w14:paraId="2B87275B"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r w:rsidRPr="00DE6D6B">
              <w:rPr>
                <w:rFonts w:ascii="Arial" w:eastAsia="Times New Roman" w:hAnsi="Arial" w:cs="Arial"/>
                <w:b/>
                <w:bCs/>
                <w:color w:val="1F1F1F"/>
                <w:kern w:val="0"/>
                <w:sz w:val="16"/>
                <w:szCs w:val="16"/>
                <w:lang w:eastAsia="es-MX"/>
                <w14:ligatures w14:val="none"/>
              </w:rPr>
              <w:t>1.7</w:t>
            </w:r>
          </w:p>
        </w:tc>
        <w:tc>
          <w:tcPr>
            <w:tcW w:w="207" w:type="pct"/>
            <w:tcBorders>
              <w:top w:val="nil"/>
              <w:left w:val="nil"/>
              <w:bottom w:val="nil"/>
              <w:right w:val="nil"/>
            </w:tcBorders>
            <w:shd w:val="clear" w:color="auto" w:fill="auto"/>
            <w:noWrap/>
            <w:vAlign w:val="bottom"/>
            <w:hideMark/>
          </w:tcPr>
          <w:p w14:paraId="7AFDA4E6" w14:textId="77777777" w:rsidR="00DE6D6B" w:rsidRPr="00DE6D6B" w:rsidRDefault="00DE6D6B" w:rsidP="00DE6D6B">
            <w:pPr>
              <w:spacing w:after="0" w:line="240" w:lineRule="auto"/>
              <w:jc w:val="center"/>
              <w:rPr>
                <w:rFonts w:ascii="Arial" w:eastAsia="Times New Roman" w:hAnsi="Arial" w:cs="Arial"/>
                <w:b/>
                <w:bCs/>
                <w:color w:val="1F1F1F"/>
                <w:kern w:val="0"/>
                <w:sz w:val="16"/>
                <w:szCs w:val="16"/>
                <w:lang w:eastAsia="es-MX"/>
                <w14:ligatures w14:val="none"/>
              </w:rPr>
            </w:pPr>
          </w:p>
        </w:tc>
        <w:tc>
          <w:tcPr>
            <w:tcW w:w="992" w:type="pct"/>
            <w:tcBorders>
              <w:top w:val="nil"/>
              <w:left w:val="single" w:sz="8" w:space="0" w:color="000000"/>
              <w:bottom w:val="single" w:sz="8" w:space="0" w:color="000000"/>
              <w:right w:val="single" w:sz="8" w:space="0" w:color="000000"/>
            </w:tcBorders>
            <w:shd w:val="clear" w:color="auto" w:fill="auto"/>
            <w:vAlign w:val="center"/>
            <w:hideMark/>
          </w:tcPr>
          <w:p w14:paraId="6FABF966"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Econ. emergentes y en desarrollo de Asia</w:t>
            </w:r>
          </w:p>
        </w:tc>
        <w:tc>
          <w:tcPr>
            <w:tcW w:w="496" w:type="pct"/>
            <w:tcBorders>
              <w:top w:val="nil"/>
              <w:left w:val="nil"/>
              <w:bottom w:val="single" w:sz="8" w:space="0" w:color="000000"/>
              <w:right w:val="single" w:sz="8" w:space="0" w:color="000000"/>
            </w:tcBorders>
            <w:shd w:val="clear" w:color="auto" w:fill="auto"/>
            <w:vAlign w:val="center"/>
            <w:hideMark/>
          </w:tcPr>
          <w:p w14:paraId="338BA2FC"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5.5</w:t>
            </w:r>
          </w:p>
        </w:tc>
        <w:tc>
          <w:tcPr>
            <w:tcW w:w="496" w:type="pct"/>
            <w:tcBorders>
              <w:top w:val="nil"/>
              <w:left w:val="nil"/>
              <w:bottom w:val="single" w:sz="8" w:space="0" w:color="000000"/>
              <w:right w:val="single" w:sz="8" w:space="0" w:color="000000"/>
            </w:tcBorders>
            <w:shd w:val="clear" w:color="auto" w:fill="auto"/>
            <w:vAlign w:val="center"/>
            <w:hideMark/>
          </w:tcPr>
          <w:p w14:paraId="0EF86ACD"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4.9</w:t>
            </w:r>
          </w:p>
        </w:tc>
        <w:tc>
          <w:tcPr>
            <w:tcW w:w="495" w:type="pct"/>
            <w:tcBorders>
              <w:top w:val="nil"/>
              <w:left w:val="nil"/>
              <w:bottom w:val="single" w:sz="8" w:space="0" w:color="000000"/>
              <w:right w:val="single" w:sz="8" w:space="0" w:color="000000"/>
            </w:tcBorders>
            <w:shd w:val="clear" w:color="auto" w:fill="auto"/>
            <w:vAlign w:val="center"/>
            <w:hideMark/>
          </w:tcPr>
          <w:p w14:paraId="6B25F85C"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4.8</w:t>
            </w:r>
          </w:p>
        </w:tc>
      </w:tr>
      <w:tr w:rsidR="00DE6D6B" w:rsidRPr="00DE6D6B" w14:paraId="42DFC40C" w14:textId="77777777" w:rsidTr="00AA60CC">
        <w:trPr>
          <w:trHeight w:val="20"/>
        </w:trPr>
        <w:tc>
          <w:tcPr>
            <w:tcW w:w="826" w:type="pct"/>
            <w:tcBorders>
              <w:top w:val="nil"/>
              <w:left w:val="single" w:sz="8" w:space="0" w:color="000000"/>
              <w:bottom w:val="single" w:sz="8" w:space="0" w:color="000000"/>
              <w:right w:val="single" w:sz="8" w:space="0" w:color="000000"/>
            </w:tcBorders>
            <w:shd w:val="clear" w:color="auto" w:fill="auto"/>
            <w:vAlign w:val="center"/>
            <w:hideMark/>
          </w:tcPr>
          <w:p w14:paraId="1ED1468C"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Estados Unidos</w:t>
            </w:r>
          </w:p>
        </w:tc>
        <w:tc>
          <w:tcPr>
            <w:tcW w:w="496" w:type="pct"/>
            <w:tcBorders>
              <w:top w:val="nil"/>
              <w:left w:val="nil"/>
              <w:bottom w:val="single" w:sz="8" w:space="0" w:color="000000"/>
              <w:right w:val="single" w:sz="8" w:space="0" w:color="000000"/>
            </w:tcBorders>
            <w:shd w:val="clear" w:color="auto" w:fill="auto"/>
            <w:vAlign w:val="center"/>
            <w:hideMark/>
          </w:tcPr>
          <w:p w14:paraId="5D8C2566"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2.1</w:t>
            </w:r>
          </w:p>
        </w:tc>
        <w:tc>
          <w:tcPr>
            <w:tcW w:w="496" w:type="pct"/>
            <w:tcBorders>
              <w:top w:val="nil"/>
              <w:left w:val="nil"/>
              <w:bottom w:val="single" w:sz="8" w:space="0" w:color="000000"/>
              <w:right w:val="single" w:sz="8" w:space="0" w:color="000000"/>
            </w:tcBorders>
            <w:shd w:val="clear" w:color="auto" w:fill="auto"/>
            <w:vAlign w:val="center"/>
            <w:hideMark/>
          </w:tcPr>
          <w:p w14:paraId="6483B144"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2.3</w:t>
            </w:r>
          </w:p>
        </w:tc>
        <w:tc>
          <w:tcPr>
            <w:tcW w:w="496" w:type="pct"/>
            <w:tcBorders>
              <w:top w:val="nil"/>
              <w:left w:val="nil"/>
              <w:bottom w:val="single" w:sz="8" w:space="0" w:color="000000"/>
              <w:right w:val="single" w:sz="8" w:space="0" w:color="000000"/>
            </w:tcBorders>
            <w:shd w:val="clear" w:color="auto" w:fill="auto"/>
            <w:vAlign w:val="center"/>
            <w:hideMark/>
          </w:tcPr>
          <w:p w14:paraId="2B34572B"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2.1</w:t>
            </w:r>
          </w:p>
        </w:tc>
        <w:tc>
          <w:tcPr>
            <w:tcW w:w="207" w:type="pct"/>
            <w:tcBorders>
              <w:top w:val="nil"/>
              <w:left w:val="nil"/>
              <w:bottom w:val="nil"/>
              <w:right w:val="nil"/>
            </w:tcBorders>
            <w:shd w:val="clear" w:color="auto" w:fill="auto"/>
            <w:noWrap/>
            <w:vAlign w:val="bottom"/>
            <w:hideMark/>
          </w:tcPr>
          <w:p w14:paraId="1200E1D1"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p>
        </w:tc>
        <w:tc>
          <w:tcPr>
            <w:tcW w:w="992" w:type="pct"/>
            <w:tcBorders>
              <w:top w:val="nil"/>
              <w:left w:val="single" w:sz="8" w:space="0" w:color="000000"/>
              <w:bottom w:val="single" w:sz="8" w:space="0" w:color="000000"/>
              <w:right w:val="single" w:sz="8" w:space="0" w:color="000000"/>
            </w:tcBorders>
            <w:shd w:val="clear" w:color="auto" w:fill="auto"/>
            <w:vAlign w:val="center"/>
            <w:hideMark/>
          </w:tcPr>
          <w:p w14:paraId="46E3D68F"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China</w:t>
            </w:r>
          </w:p>
        </w:tc>
        <w:tc>
          <w:tcPr>
            <w:tcW w:w="496" w:type="pct"/>
            <w:tcBorders>
              <w:top w:val="nil"/>
              <w:left w:val="nil"/>
              <w:bottom w:val="single" w:sz="8" w:space="0" w:color="000000"/>
              <w:right w:val="single" w:sz="8" w:space="0" w:color="000000"/>
            </w:tcBorders>
            <w:shd w:val="clear" w:color="auto" w:fill="auto"/>
            <w:vAlign w:val="center"/>
            <w:hideMark/>
          </w:tcPr>
          <w:p w14:paraId="2DAAF84D"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5</w:t>
            </w:r>
          </w:p>
        </w:tc>
        <w:tc>
          <w:tcPr>
            <w:tcW w:w="496" w:type="pct"/>
            <w:tcBorders>
              <w:top w:val="nil"/>
              <w:left w:val="nil"/>
              <w:bottom w:val="single" w:sz="8" w:space="0" w:color="000000"/>
              <w:right w:val="single" w:sz="8" w:space="0" w:color="000000"/>
            </w:tcBorders>
            <w:shd w:val="clear" w:color="auto" w:fill="auto"/>
            <w:vAlign w:val="center"/>
            <w:hideMark/>
          </w:tcPr>
          <w:p w14:paraId="13047F56"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4.4</w:t>
            </w:r>
          </w:p>
        </w:tc>
        <w:tc>
          <w:tcPr>
            <w:tcW w:w="495" w:type="pct"/>
            <w:tcBorders>
              <w:top w:val="nil"/>
              <w:left w:val="nil"/>
              <w:bottom w:val="single" w:sz="8" w:space="0" w:color="000000"/>
              <w:right w:val="single" w:sz="8" w:space="0" w:color="000000"/>
            </w:tcBorders>
            <w:shd w:val="clear" w:color="auto" w:fill="auto"/>
            <w:vAlign w:val="center"/>
            <w:hideMark/>
          </w:tcPr>
          <w:p w14:paraId="2E95C628"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4</w:t>
            </w:r>
          </w:p>
        </w:tc>
      </w:tr>
      <w:tr w:rsidR="00DE6D6B" w:rsidRPr="00DE6D6B" w14:paraId="25E80D9D" w14:textId="77777777" w:rsidTr="00AA60CC">
        <w:trPr>
          <w:trHeight w:val="20"/>
        </w:trPr>
        <w:tc>
          <w:tcPr>
            <w:tcW w:w="826" w:type="pct"/>
            <w:tcBorders>
              <w:top w:val="nil"/>
              <w:left w:val="single" w:sz="8" w:space="0" w:color="000000"/>
              <w:bottom w:val="single" w:sz="8" w:space="0" w:color="000000"/>
              <w:right w:val="single" w:sz="8" w:space="0" w:color="000000"/>
            </w:tcBorders>
            <w:shd w:val="clear" w:color="auto" w:fill="auto"/>
            <w:vAlign w:val="center"/>
            <w:hideMark/>
          </w:tcPr>
          <w:p w14:paraId="1D70E032"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Zona del euro</w:t>
            </w:r>
          </w:p>
        </w:tc>
        <w:tc>
          <w:tcPr>
            <w:tcW w:w="496" w:type="pct"/>
            <w:tcBorders>
              <w:top w:val="nil"/>
              <w:left w:val="nil"/>
              <w:bottom w:val="single" w:sz="8" w:space="0" w:color="000000"/>
              <w:right w:val="single" w:sz="8" w:space="0" w:color="000000"/>
            </w:tcBorders>
            <w:shd w:val="clear" w:color="auto" w:fill="auto"/>
            <w:vAlign w:val="center"/>
            <w:hideMark/>
          </w:tcPr>
          <w:p w14:paraId="0E559DDB"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1.4</w:t>
            </w:r>
          </w:p>
        </w:tc>
        <w:tc>
          <w:tcPr>
            <w:tcW w:w="496" w:type="pct"/>
            <w:tcBorders>
              <w:top w:val="nil"/>
              <w:left w:val="nil"/>
              <w:bottom w:val="single" w:sz="8" w:space="0" w:color="000000"/>
              <w:right w:val="single" w:sz="8" w:space="0" w:color="000000"/>
            </w:tcBorders>
            <w:shd w:val="clear" w:color="auto" w:fill="auto"/>
            <w:vAlign w:val="center"/>
            <w:hideMark/>
          </w:tcPr>
          <w:p w14:paraId="05959D2C"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1.1</w:t>
            </w:r>
          </w:p>
        </w:tc>
        <w:tc>
          <w:tcPr>
            <w:tcW w:w="496" w:type="pct"/>
            <w:tcBorders>
              <w:top w:val="nil"/>
              <w:left w:val="nil"/>
              <w:bottom w:val="single" w:sz="8" w:space="0" w:color="000000"/>
              <w:right w:val="single" w:sz="8" w:space="0" w:color="000000"/>
            </w:tcBorders>
            <w:shd w:val="clear" w:color="auto" w:fill="auto"/>
            <w:vAlign w:val="center"/>
            <w:hideMark/>
          </w:tcPr>
          <w:p w14:paraId="57BB66D1"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1.2</w:t>
            </w:r>
          </w:p>
        </w:tc>
        <w:tc>
          <w:tcPr>
            <w:tcW w:w="207" w:type="pct"/>
            <w:tcBorders>
              <w:top w:val="nil"/>
              <w:left w:val="nil"/>
              <w:bottom w:val="nil"/>
              <w:right w:val="nil"/>
            </w:tcBorders>
            <w:shd w:val="clear" w:color="auto" w:fill="auto"/>
            <w:noWrap/>
            <w:vAlign w:val="bottom"/>
            <w:hideMark/>
          </w:tcPr>
          <w:p w14:paraId="4B6444DB"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p>
        </w:tc>
        <w:tc>
          <w:tcPr>
            <w:tcW w:w="992" w:type="pct"/>
            <w:tcBorders>
              <w:top w:val="nil"/>
              <w:left w:val="single" w:sz="8" w:space="0" w:color="000000"/>
              <w:bottom w:val="single" w:sz="8" w:space="0" w:color="000000"/>
              <w:right w:val="single" w:sz="8" w:space="0" w:color="000000"/>
            </w:tcBorders>
            <w:shd w:val="clear" w:color="auto" w:fill="auto"/>
            <w:vAlign w:val="center"/>
            <w:hideMark/>
          </w:tcPr>
          <w:p w14:paraId="60B252BC"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India</w:t>
            </w:r>
          </w:p>
        </w:tc>
        <w:tc>
          <w:tcPr>
            <w:tcW w:w="496" w:type="pct"/>
            <w:tcBorders>
              <w:top w:val="nil"/>
              <w:left w:val="nil"/>
              <w:bottom w:val="single" w:sz="8" w:space="0" w:color="000000"/>
              <w:right w:val="single" w:sz="8" w:space="0" w:color="000000"/>
            </w:tcBorders>
            <w:shd w:val="clear" w:color="auto" w:fill="auto"/>
            <w:vAlign w:val="center"/>
            <w:hideMark/>
          </w:tcPr>
          <w:p w14:paraId="341CD395"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7.6</w:t>
            </w:r>
          </w:p>
        </w:tc>
        <w:tc>
          <w:tcPr>
            <w:tcW w:w="496" w:type="pct"/>
            <w:tcBorders>
              <w:top w:val="nil"/>
              <w:left w:val="nil"/>
              <w:bottom w:val="single" w:sz="8" w:space="0" w:color="000000"/>
              <w:right w:val="single" w:sz="8" w:space="0" w:color="000000"/>
            </w:tcBorders>
            <w:shd w:val="clear" w:color="auto" w:fill="auto"/>
            <w:vAlign w:val="center"/>
            <w:hideMark/>
          </w:tcPr>
          <w:p w14:paraId="50EDDA70"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6.5</w:t>
            </w:r>
          </w:p>
        </w:tc>
        <w:tc>
          <w:tcPr>
            <w:tcW w:w="495" w:type="pct"/>
            <w:tcBorders>
              <w:top w:val="nil"/>
              <w:left w:val="nil"/>
              <w:bottom w:val="single" w:sz="8" w:space="0" w:color="000000"/>
              <w:right w:val="single" w:sz="8" w:space="0" w:color="000000"/>
            </w:tcBorders>
            <w:shd w:val="clear" w:color="auto" w:fill="auto"/>
            <w:vAlign w:val="center"/>
            <w:hideMark/>
          </w:tcPr>
          <w:p w14:paraId="4FE1D653"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6.5</w:t>
            </w:r>
          </w:p>
        </w:tc>
      </w:tr>
      <w:tr w:rsidR="00DE6D6B" w:rsidRPr="00DE6D6B" w14:paraId="753FBF79" w14:textId="77777777" w:rsidTr="00AA60CC">
        <w:trPr>
          <w:trHeight w:val="20"/>
        </w:trPr>
        <w:tc>
          <w:tcPr>
            <w:tcW w:w="826" w:type="pct"/>
            <w:tcBorders>
              <w:top w:val="nil"/>
              <w:left w:val="single" w:sz="8" w:space="0" w:color="000000"/>
              <w:bottom w:val="single" w:sz="8" w:space="0" w:color="000000"/>
              <w:right w:val="single" w:sz="8" w:space="0" w:color="000000"/>
            </w:tcBorders>
            <w:shd w:val="clear" w:color="auto" w:fill="auto"/>
            <w:vAlign w:val="center"/>
            <w:hideMark/>
          </w:tcPr>
          <w:p w14:paraId="525F033F"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Alemania</w:t>
            </w:r>
          </w:p>
        </w:tc>
        <w:tc>
          <w:tcPr>
            <w:tcW w:w="496" w:type="pct"/>
            <w:tcBorders>
              <w:top w:val="nil"/>
              <w:left w:val="nil"/>
              <w:bottom w:val="single" w:sz="8" w:space="0" w:color="000000"/>
              <w:right w:val="single" w:sz="8" w:space="0" w:color="000000"/>
            </w:tcBorders>
            <w:shd w:val="clear" w:color="auto" w:fill="auto"/>
            <w:vAlign w:val="center"/>
            <w:hideMark/>
          </w:tcPr>
          <w:p w14:paraId="220C5F1B"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0.2</w:t>
            </w:r>
          </w:p>
        </w:tc>
        <w:tc>
          <w:tcPr>
            <w:tcW w:w="496" w:type="pct"/>
            <w:tcBorders>
              <w:top w:val="nil"/>
              <w:left w:val="nil"/>
              <w:bottom w:val="single" w:sz="8" w:space="0" w:color="000000"/>
              <w:right w:val="single" w:sz="8" w:space="0" w:color="000000"/>
            </w:tcBorders>
            <w:shd w:val="clear" w:color="auto" w:fill="auto"/>
            <w:vAlign w:val="center"/>
            <w:hideMark/>
          </w:tcPr>
          <w:p w14:paraId="4FA952C5"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0.8</w:t>
            </w:r>
          </w:p>
        </w:tc>
        <w:tc>
          <w:tcPr>
            <w:tcW w:w="496" w:type="pct"/>
            <w:tcBorders>
              <w:top w:val="nil"/>
              <w:left w:val="nil"/>
              <w:bottom w:val="single" w:sz="8" w:space="0" w:color="000000"/>
              <w:right w:val="single" w:sz="8" w:space="0" w:color="000000"/>
            </w:tcBorders>
            <w:shd w:val="clear" w:color="auto" w:fill="auto"/>
            <w:vAlign w:val="center"/>
            <w:hideMark/>
          </w:tcPr>
          <w:p w14:paraId="2DD91FBE"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1.2</w:t>
            </w:r>
          </w:p>
        </w:tc>
        <w:tc>
          <w:tcPr>
            <w:tcW w:w="207" w:type="pct"/>
            <w:tcBorders>
              <w:top w:val="nil"/>
              <w:left w:val="nil"/>
              <w:bottom w:val="nil"/>
              <w:right w:val="nil"/>
            </w:tcBorders>
            <w:shd w:val="clear" w:color="auto" w:fill="auto"/>
            <w:noWrap/>
            <w:vAlign w:val="bottom"/>
            <w:hideMark/>
          </w:tcPr>
          <w:p w14:paraId="7DA37D22"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p>
        </w:tc>
        <w:tc>
          <w:tcPr>
            <w:tcW w:w="992" w:type="pct"/>
            <w:tcBorders>
              <w:top w:val="nil"/>
              <w:left w:val="single" w:sz="8" w:space="0" w:color="000000"/>
              <w:bottom w:val="single" w:sz="8" w:space="0" w:color="000000"/>
              <w:right w:val="single" w:sz="8" w:space="0" w:color="000000"/>
            </w:tcBorders>
            <w:shd w:val="clear" w:color="auto" w:fill="auto"/>
            <w:vAlign w:val="center"/>
            <w:hideMark/>
          </w:tcPr>
          <w:p w14:paraId="04047BA3"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Econ. emergentes y en desarrollo de Europa</w:t>
            </w:r>
          </w:p>
        </w:tc>
        <w:tc>
          <w:tcPr>
            <w:tcW w:w="496" w:type="pct"/>
            <w:tcBorders>
              <w:top w:val="nil"/>
              <w:left w:val="nil"/>
              <w:bottom w:val="single" w:sz="8" w:space="0" w:color="000000"/>
              <w:right w:val="single" w:sz="8" w:space="0" w:color="000000"/>
            </w:tcBorders>
            <w:shd w:val="clear" w:color="auto" w:fill="auto"/>
            <w:vAlign w:val="center"/>
            <w:hideMark/>
          </w:tcPr>
          <w:p w14:paraId="3B07E07A"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2</w:t>
            </w:r>
          </w:p>
        </w:tc>
        <w:tc>
          <w:tcPr>
            <w:tcW w:w="496" w:type="pct"/>
            <w:tcBorders>
              <w:top w:val="nil"/>
              <w:left w:val="nil"/>
              <w:bottom w:val="single" w:sz="8" w:space="0" w:color="000000"/>
              <w:right w:val="single" w:sz="8" w:space="0" w:color="000000"/>
            </w:tcBorders>
            <w:shd w:val="clear" w:color="auto" w:fill="auto"/>
            <w:vAlign w:val="center"/>
            <w:hideMark/>
          </w:tcPr>
          <w:p w14:paraId="383B6E01"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2</w:t>
            </w:r>
          </w:p>
        </w:tc>
        <w:tc>
          <w:tcPr>
            <w:tcW w:w="495" w:type="pct"/>
            <w:tcBorders>
              <w:top w:val="nil"/>
              <w:left w:val="nil"/>
              <w:bottom w:val="single" w:sz="8" w:space="0" w:color="000000"/>
              <w:right w:val="single" w:sz="8" w:space="0" w:color="000000"/>
            </w:tcBorders>
            <w:shd w:val="clear" w:color="auto" w:fill="auto"/>
            <w:vAlign w:val="center"/>
            <w:hideMark/>
          </w:tcPr>
          <w:p w14:paraId="5AF7F35B"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2.1</w:t>
            </w:r>
          </w:p>
        </w:tc>
      </w:tr>
      <w:tr w:rsidR="00DE6D6B" w:rsidRPr="00DE6D6B" w14:paraId="0D3B9B85" w14:textId="77777777" w:rsidTr="00AA60CC">
        <w:trPr>
          <w:trHeight w:val="20"/>
        </w:trPr>
        <w:tc>
          <w:tcPr>
            <w:tcW w:w="826" w:type="pct"/>
            <w:tcBorders>
              <w:top w:val="nil"/>
              <w:left w:val="single" w:sz="8" w:space="0" w:color="000000"/>
              <w:bottom w:val="single" w:sz="8" w:space="0" w:color="000000"/>
              <w:right w:val="single" w:sz="8" w:space="0" w:color="000000"/>
            </w:tcBorders>
            <w:shd w:val="clear" w:color="auto" w:fill="auto"/>
            <w:vAlign w:val="center"/>
            <w:hideMark/>
          </w:tcPr>
          <w:p w14:paraId="29A187DC"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Francia</w:t>
            </w:r>
          </w:p>
        </w:tc>
        <w:tc>
          <w:tcPr>
            <w:tcW w:w="496" w:type="pct"/>
            <w:tcBorders>
              <w:top w:val="nil"/>
              <w:left w:val="nil"/>
              <w:bottom w:val="single" w:sz="8" w:space="0" w:color="000000"/>
              <w:right w:val="single" w:sz="8" w:space="0" w:color="000000"/>
            </w:tcBorders>
            <w:shd w:val="clear" w:color="auto" w:fill="auto"/>
            <w:vAlign w:val="center"/>
            <w:hideMark/>
          </w:tcPr>
          <w:p w14:paraId="34E5C2FD"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0.9</w:t>
            </w:r>
          </w:p>
        </w:tc>
        <w:tc>
          <w:tcPr>
            <w:tcW w:w="496" w:type="pct"/>
            <w:tcBorders>
              <w:top w:val="nil"/>
              <w:left w:val="nil"/>
              <w:bottom w:val="single" w:sz="8" w:space="0" w:color="000000"/>
              <w:right w:val="single" w:sz="8" w:space="0" w:color="000000"/>
            </w:tcBorders>
            <w:shd w:val="clear" w:color="auto" w:fill="auto"/>
            <w:vAlign w:val="center"/>
            <w:hideMark/>
          </w:tcPr>
          <w:p w14:paraId="6D7622FF"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0.9</w:t>
            </w:r>
          </w:p>
        </w:tc>
        <w:tc>
          <w:tcPr>
            <w:tcW w:w="496" w:type="pct"/>
            <w:tcBorders>
              <w:top w:val="nil"/>
              <w:left w:val="nil"/>
              <w:bottom w:val="single" w:sz="8" w:space="0" w:color="000000"/>
              <w:right w:val="single" w:sz="8" w:space="0" w:color="000000"/>
            </w:tcBorders>
            <w:shd w:val="clear" w:color="auto" w:fill="auto"/>
            <w:vAlign w:val="center"/>
            <w:hideMark/>
          </w:tcPr>
          <w:p w14:paraId="68298E97"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0.9</w:t>
            </w:r>
          </w:p>
        </w:tc>
        <w:tc>
          <w:tcPr>
            <w:tcW w:w="207" w:type="pct"/>
            <w:tcBorders>
              <w:top w:val="nil"/>
              <w:left w:val="nil"/>
              <w:bottom w:val="nil"/>
              <w:right w:val="nil"/>
            </w:tcBorders>
            <w:shd w:val="clear" w:color="auto" w:fill="auto"/>
            <w:noWrap/>
            <w:vAlign w:val="bottom"/>
            <w:hideMark/>
          </w:tcPr>
          <w:p w14:paraId="1D501DBC"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p>
        </w:tc>
        <w:tc>
          <w:tcPr>
            <w:tcW w:w="992" w:type="pct"/>
            <w:tcBorders>
              <w:top w:val="nil"/>
              <w:left w:val="single" w:sz="8" w:space="0" w:color="000000"/>
              <w:bottom w:val="single" w:sz="8" w:space="0" w:color="000000"/>
              <w:right w:val="single" w:sz="8" w:space="0" w:color="000000"/>
            </w:tcBorders>
            <w:shd w:val="clear" w:color="auto" w:fill="auto"/>
            <w:vAlign w:val="center"/>
            <w:hideMark/>
          </w:tcPr>
          <w:p w14:paraId="259177D6"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Rusia</w:t>
            </w:r>
          </w:p>
        </w:tc>
        <w:tc>
          <w:tcPr>
            <w:tcW w:w="496" w:type="pct"/>
            <w:tcBorders>
              <w:top w:val="nil"/>
              <w:left w:val="nil"/>
              <w:bottom w:val="single" w:sz="8" w:space="0" w:color="000000"/>
              <w:right w:val="single" w:sz="8" w:space="0" w:color="000000"/>
            </w:tcBorders>
            <w:shd w:val="clear" w:color="auto" w:fill="auto"/>
            <w:vAlign w:val="center"/>
            <w:hideMark/>
          </w:tcPr>
          <w:p w14:paraId="58AF0B9B"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w:t>
            </w:r>
          </w:p>
        </w:tc>
        <w:tc>
          <w:tcPr>
            <w:tcW w:w="496" w:type="pct"/>
            <w:tcBorders>
              <w:top w:val="nil"/>
              <w:left w:val="nil"/>
              <w:bottom w:val="single" w:sz="8" w:space="0" w:color="000000"/>
              <w:right w:val="single" w:sz="8" w:space="0" w:color="000000"/>
            </w:tcBorders>
            <w:shd w:val="clear" w:color="auto" w:fill="auto"/>
            <w:vAlign w:val="center"/>
            <w:hideMark/>
          </w:tcPr>
          <w:p w14:paraId="4E5D225C"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1.1</w:t>
            </w:r>
          </w:p>
        </w:tc>
        <w:tc>
          <w:tcPr>
            <w:tcW w:w="495" w:type="pct"/>
            <w:tcBorders>
              <w:top w:val="nil"/>
              <w:left w:val="nil"/>
              <w:bottom w:val="single" w:sz="8" w:space="0" w:color="000000"/>
              <w:right w:val="single" w:sz="8" w:space="0" w:color="000000"/>
            </w:tcBorders>
            <w:shd w:val="clear" w:color="auto" w:fill="auto"/>
            <w:vAlign w:val="center"/>
            <w:hideMark/>
          </w:tcPr>
          <w:p w14:paraId="65FBF039"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1.1</w:t>
            </w:r>
          </w:p>
        </w:tc>
      </w:tr>
      <w:tr w:rsidR="00DE6D6B" w:rsidRPr="00DE6D6B" w14:paraId="5CDB71E7" w14:textId="77777777" w:rsidTr="00AA60CC">
        <w:trPr>
          <w:trHeight w:val="20"/>
        </w:trPr>
        <w:tc>
          <w:tcPr>
            <w:tcW w:w="826" w:type="pct"/>
            <w:tcBorders>
              <w:top w:val="nil"/>
              <w:left w:val="single" w:sz="8" w:space="0" w:color="000000"/>
              <w:bottom w:val="single" w:sz="8" w:space="0" w:color="000000"/>
              <w:right w:val="single" w:sz="8" w:space="0" w:color="000000"/>
            </w:tcBorders>
            <w:shd w:val="clear" w:color="auto" w:fill="auto"/>
            <w:vAlign w:val="center"/>
            <w:hideMark/>
          </w:tcPr>
          <w:p w14:paraId="42C9E481"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Italia</w:t>
            </w:r>
          </w:p>
        </w:tc>
        <w:tc>
          <w:tcPr>
            <w:tcW w:w="496" w:type="pct"/>
            <w:tcBorders>
              <w:top w:val="nil"/>
              <w:left w:val="nil"/>
              <w:bottom w:val="single" w:sz="8" w:space="0" w:color="000000"/>
              <w:right w:val="single" w:sz="8" w:space="0" w:color="000000"/>
            </w:tcBorders>
            <w:shd w:val="clear" w:color="auto" w:fill="auto"/>
            <w:vAlign w:val="center"/>
            <w:hideMark/>
          </w:tcPr>
          <w:p w14:paraId="565002A0"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0.5</w:t>
            </w:r>
          </w:p>
        </w:tc>
        <w:tc>
          <w:tcPr>
            <w:tcW w:w="496" w:type="pct"/>
            <w:tcBorders>
              <w:top w:val="nil"/>
              <w:left w:val="nil"/>
              <w:bottom w:val="single" w:sz="8" w:space="0" w:color="000000"/>
              <w:right w:val="single" w:sz="8" w:space="0" w:color="000000"/>
            </w:tcBorders>
            <w:shd w:val="clear" w:color="auto" w:fill="auto"/>
            <w:vAlign w:val="center"/>
            <w:hideMark/>
          </w:tcPr>
          <w:p w14:paraId="5681A531"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0.5</w:t>
            </w:r>
          </w:p>
        </w:tc>
        <w:tc>
          <w:tcPr>
            <w:tcW w:w="496" w:type="pct"/>
            <w:tcBorders>
              <w:top w:val="nil"/>
              <w:left w:val="nil"/>
              <w:bottom w:val="single" w:sz="8" w:space="0" w:color="000000"/>
              <w:right w:val="single" w:sz="8" w:space="0" w:color="000000"/>
            </w:tcBorders>
            <w:shd w:val="clear" w:color="auto" w:fill="auto"/>
            <w:vAlign w:val="center"/>
            <w:hideMark/>
          </w:tcPr>
          <w:p w14:paraId="46AB2650"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0.5</w:t>
            </w:r>
          </w:p>
        </w:tc>
        <w:tc>
          <w:tcPr>
            <w:tcW w:w="207" w:type="pct"/>
            <w:tcBorders>
              <w:top w:val="nil"/>
              <w:left w:val="nil"/>
              <w:bottom w:val="nil"/>
              <w:right w:val="nil"/>
            </w:tcBorders>
            <w:shd w:val="clear" w:color="auto" w:fill="auto"/>
            <w:noWrap/>
            <w:vAlign w:val="bottom"/>
            <w:hideMark/>
          </w:tcPr>
          <w:p w14:paraId="2EE998EA"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p>
        </w:tc>
        <w:tc>
          <w:tcPr>
            <w:tcW w:w="992" w:type="pct"/>
            <w:tcBorders>
              <w:top w:val="nil"/>
              <w:left w:val="single" w:sz="8" w:space="0" w:color="000000"/>
              <w:bottom w:val="single" w:sz="8" w:space="0" w:color="000000"/>
              <w:right w:val="single" w:sz="8" w:space="0" w:color="000000"/>
            </w:tcBorders>
            <w:shd w:val="clear" w:color="auto" w:fill="auto"/>
            <w:vAlign w:val="center"/>
            <w:hideMark/>
          </w:tcPr>
          <w:p w14:paraId="529C1848"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América Latina y el Caribe</w:t>
            </w:r>
          </w:p>
        </w:tc>
        <w:tc>
          <w:tcPr>
            <w:tcW w:w="496" w:type="pct"/>
            <w:tcBorders>
              <w:top w:val="nil"/>
              <w:left w:val="nil"/>
              <w:bottom w:val="single" w:sz="8" w:space="0" w:color="000000"/>
              <w:right w:val="single" w:sz="8" w:space="0" w:color="000000"/>
            </w:tcBorders>
            <w:shd w:val="clear" w:color="auto" w:fill="auto"/>
            <w:vAlign w:val="center"/>
            <w:hideMark/>
          </w:tcPr>
          <w:p w14:paraId="495C62BD"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2.4</w:t>
            </w:r>
          </w:p>
        </w:tc>
        <w:tc>
          <w:tcPr>
            <w:tcW w:w="496" w:type="pct"/>
            <w:tcBorders>
              <w:top w:val="nil"/>
              <w:left w:val="nil"/>
              <w:bottom w:val="single" w:sz="8" w:space="0" w:color="000000"/>
              <w:right w:val="single" w:sz="8" w:space="0" w:color="000000"/>
            </w:tcBorders>
            <w:shd w:val="clear" w:color="auto" w:fill="auto"/>
            <w:vAlign w:val="center"/>
            <w:hideMark/>
          </w:tcPr>
          <w:p w14:paraId="7844CBAB"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2.3</w:t>
            </w:r>
          </w:p>
        </w:tc>
        <w:tc>
          <w:tcPr>
            <w:tcW w:w="495" w:type="pct"/>
            <w:tcBorders>
              <w:top w:val="nil"/>
              <w:left w:val="nil"/>
              <w:bottom w:val="single" w:sz="8" w:space="0" w:color="000000"/>
              <w:right w:val="single" w:sz="8" w:space="0" w:color="000000"/>
            </w:tcBorders>
            <w:shd w:val="clear" w:color="auto" w:fill="auto"/>
            <w:vAlign w:val="center"/>
            <w:hideMark/>
          </w:tcPr>
          <w:p w14:paraId="02464541"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2.7</w:t>
            </w:r>
          </w:p>
        </w:tc>
      </w:tr>
      <w:tr w:rsidR="00DE6D6B" w:rsidRPr="00DE6D6B" w14:paraId="21E9B59F" w14:textId="77777777" w:rsidTr="00AA60CC">
        <w:trPr>
          <w:trHeight w:val="20"/>
        </w:trPr>
        <w:tc>
          <w:tcPr>
            <w:tcW w:w="826" w:type="pct"/>
            <w:tcBorders>
              <w:top w:val="nil"/>
              <w:left w:val="single" w:sz="8" w:space="0" w:color="000000"/>
              <w:bottom w:val="single" w:sz="8" w:space="0" w:color="000000"/>
              <w:right w:val="single" w:sz="8" w:space="0" w:color="000000"/>
            </w:tcBorders>
            <w:shd w:val="clear" w:color="auto" w:fill="auto"/>
            <w:vAlign w:val="center"/>
            <w:hideMark/>
          </w:tcPr>
          <w:p w14:paraId="69AD99F6"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España</w:t>
            </w:r>
          </w:p>
        </w:tc>
        <w:tc>
          <w:tcPr>
            <w:tcW w:w="496" w:type="pct"/>
            <w:tcBorders>
              <w:top w:val="nil"/>
              <w:left w:val="nil"/>
              <w:bottom w:val="single" w:sz="8" w:space="0" w:color="000000"/>
              <w:right w:val="single" w:sz="8" w:space="0" w:color="000000"/>
            </w:tcBorders>
            <w:shd w:val="clear" w:color="auto" w:fill="auto"/>
            <w:vAlign w:val="center"/>
            <w:hideMark/>
          </w:tcPr>
          <w:p w14:paraId="43F86A8D"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2.8</w:t>
            </w:r>
          </w:p>
        </w:tc>
        <w:tc>
          <w:tcPr>
            <w:tcW w:w="496" w:type="pct"/>
            <w:tcBorders>
              <w:top w:val="nil"/>
              <w:left w:val="nil"/>
              <w:bottom w:val="single" w:sz="8" w:space="0" w:color="000000"/>
              <w:right w:val="single" w:sz="8" w:space="0" w:color="000000"/>
            </w:tcBorders>
            <w:shd w:val="clear" w:color="auto" w:fill="auto"/>
            <w:vAlign w:val="center"/>
            <w:hideMark/>
          </w:tcPr>
          <w:p w14:paraId="2C1C8A8D"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2.1</w:t>
            </w:r>
          </w:p>
        </w:tc>
        <w:tc>
          <w:tcPr>
            <w:tcW w:w="496" w:type="pct"/>
            <w:tcBorders>
              <w:top w:val="nil"/>
              <w:left w:val="nil"/>
              <w:bottom w:val="single" w:sz="8" w:space="0" w:color="000000"/>
              <w:right w:val="single" w:sz="8" w:space="0" w:color="000000"/>
            </w:tcBorders>
            <w:shd w:val="clear" w:color="auto" w:fill="auto"/>
            <w:vAlign w:val="center"/>
            <w:hideMark/>
          </w:tcPr>
          <w:p w14:paraId="5DFC0934"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1.8</w:t>
            </w:r>
          </w:p>
        </w:tc>
        <w:tc>
          <w:tcPr>
            <w:tcW w:w="207" w:type="pct"/>
            <w:tcBorders>
              <w:top w:val="nil"/>
              <w:left w:val="nil"/>
              <w:bottom w:val="nil"/>
              <w:right w:val="nil"/>
            </w:tcBorders>
            <w:shd w:val="clear" w:color="auto" w:fill="auto"/>
            <w:noWrap/>
            <w:vAlign w:val="bottom"/>
            <w:hideMark/>
          </w:tcPr>
          <w:p w14:paraId="28FA02C2"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p>
        </w:tc>
        <w:tc>
          <w:tcPr>
            <w:tcW w:w="992" w:type="pct"/>
            <w:tcBorders>
              <w:top w:val="nil"/>
              <w:left w:val="single" w:sz="8" w:space="0" w:color="000000"/>
              <w:bottom w:val="single" w:sz="8" w:space="0" w:color="000000"/>
              <w:right w:val="single" w:sz="8" w:space="0" w:color="000000"/>
            </w:tcBorders>
            <w:shd w:val="clear" w:color="auto" w:fill="auto"/>
            <w:vAlign w:val="center"/>
            <w:hideMark/>
          </w:tcPr>
          <w:p w14:paraId="1A48916A"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Brasil</w:t>
            </w:r>
          </w:p>
        </w:tc>
        <w:tc>
          <w:tcPr>
            <w:tcW w:w="496" w:type="pct"/>
            <w:tcBorders>
              <w:top w:val="nil"/>
              <w:left w:val="nil"/>
              <w:bottom w:val="single" w:sz="8" w:space="0" w:color="000000"/>
              <w:right w:val="single" w:sz="8" w:space="0" w:color="000000"/>
            </w:tcBorders>
            <w:shd w:val="clear" w:color="auto" w:fill="auto"/>
            <w:vAlign w:val="center"/>
            <w:hideMark/>
          </w:tcPr>
          <w:p w14:paraId="6CFF472D"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2.3</w:t>
            </w:r>
          </w:p>
        </w:tc>
        <w:tc>
          <w:tcPr>
            <w:tcW w:w="496" w:type="pct"/>
            <w:tcBorders>
              <w:top w:val="nil"/>
              <w:left w:val="nil"/>
              <w:bottom w:val="single" w:sz="8" w:space="0" w:color="000000"/>
              <w:right w:val="single" w:sz="8" w:space="0" w:color="000000"/>
            </w:tcBorders>
            <w:shd w:val="clear" w:color="auto" w:fill="auto"/>
            <w:vAlign w:val="center"/>
            <w:hideMark/>
          </w:tcPr>
          <w:p w14:paraId="185A87FB"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1.9</w:t>
            </w:r>
          </w:p>
        </w:tc>
        <w:tc>
          <w:tcPr>
            <w:tcW w:w="495" w:type="pct"/>
            <w:tcBorders>
              <w:top w:val="nil"/>
              <w:left w:val="nil"/>
              <w:bottom w:val="single" w:sz="8" w:space="0" w:color="000000"/>
              <w:right w:val="single" w:sz="8" w:space="0" w:color="000000"/>
            </w:tcBorders>
            <w:shd w:val="clear" w:color="auto" w:fill="auto"/>
            <w:vAlign w:val="center"/>
            <w:hideMark/>
          </w:tcPr>
          <w:p w14:paraId="641F5AC2"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2</w:t>
            </w:r>
          </w:p>
        </w:tc>
      </w:tr>
      <w:tr w:rsidR="00DE6D6B" w:rsidRPr="00DE6D6B" w14:paraId="0D353DF9" w14:textId="77777777" w:rsidTr="00AA60CC">
        <w:trPr>
          <w:trHeight w:val="20"/>
        </w:trPr>
        <w:tc>
          <w:tcPr>
            <w:tcW w:w="826" w:type="pct"/>
            <w:tcBorders>
              <w:top w:val="nil"/>
              <w:left w:val="single" w:sz="8" w:space="0" w:color="000000"/>
              <w:bottom w:val="single" w:sz="8" w:space="0" w:color="000000"/>
              <w:right w:val="single" w:sz="8" w:space="0" w:color="000000"/>
            </w:tcBorders>
            <w:shd w:val="clear" w:color="auto" w:fill="auto"/>
            <w:vAlign w:val="center"/>
            <w:hideMark/>
          </w:tcPr>
          <w:p w14:paraId="1DE952E1"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Japón</w:t>
            </w:r>
          </w:p>
        </w:tc>
        <w:tc>
          <w:tcPr>
            <w:tcW w:w="496" w:type="pct"/>
            <w:tcBorders>
              <w:top w:val="nil"/>
              <w:left w:val="nil"/>
              <w:bottom w:val="single" w:sz="8" w:space="0" w:color="000000"/>
              <w:right w:val="single" w:sz="8" w:space="0" w:color="000000"/>
            </w:tcBorders>
            <w:shd w:val="clear" w:color="auto" w:fill="auto"/>
            <w:vAlign w:val="center"/>
            <w:hideMark/>
          </w:tcPr>
          <w:p w14:paraId="1B1D4B78"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1.2</w:t>
            </w:r>
          </w:p>
        </w:tc>
        <w:tc>
          <w:tcPr>
            <w:tcW w:w="496" w:type="pct"/>
            <w:tcBorders>
              <w:top w:val="nil"/>
              <w:left w:val="nil"/>
              <w:bottom w:val="single" w:sz="8" w:space="0" w:color="000000"/>
              <w:right w:val="single" w:sz="8" w:space="0" w:color="000000"/>
            </w:tcBorders>
            <w:shd w:val="clear" w:color="auto" w:fill="auto"/>
            <w:vAlign w:val="center"/>
            <w:hideMark/>
          </w:tcPr>
          <w:p w14:paraId="4DE50A3E"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0.7</w:t>
            </w:r>
          </w:p>
        </w:tc>
        <w:tc>
          <w:tcPr>
            <w:tcW w:w="496" w:type="pct"/>
            <w:tcBorders>
              <w:top w:val="nil"/>
              <w:left w:val="nil"/>
              <w:bottom w:val="single" w:sz="8" w:space="0" w:color="000000"/>
              <w:right w:val="single" w:sz="8" w:space="0" w:color="000000"/>
            </w:tcBorders>
            <w:shd w:val="clear" w:color="auto" w:fill="auto"/>
            <w:vAlign w:val="center"/>
            <w:hideMark/>
          </w:tcPr>
          <w:p w14:paraId="66C6C995"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0.6</w:t>
            </w:r>
          </w:p>
        </w:tc>
        <w:tc>
          <w:tcPr>
            <w:tcW w:w="207" w:type="pct"/>
            <w:tcBorders>
              <w:top w:val="nil"/>
              <w:left w:val="nil"/>
              <w:bottom w:val="nil"/>
              <w:right w:val="nil"/>
            </w:tcBorders>
            <w:shd w:val="clear" w:color="auto" w:fill="auto"/>
            <w:noWrap/>
            <w:vAlign w:val="bottom"/>
            <w:hideMark/>
          </w:tcPr>
          <w:p w14:paraId="733049E5"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p>
        </w:tc>
        <w:tc>
          <w:tcPr>
            <w:tcW w:w="992" w:type="pct"/>
            <w:tcBorders>
              <w:top w:val="nil"/>
              <w:left w:val="single" w:sz="8" w:space="0" w:color="000000"/>
              <w:bottom w:val="single" w:sz="8" w:space="0" w:color="000000"/>
              <w:right w:val="single" w:sz="8" w:space="0" w:color="000000"/>
            </w:tcBorders>
            <w:shd w:val="clear" w:color="auto" w:fill="auto"/>
            <w:vAlign w:val="center"/>
            <w:hideMark/>
          </w:tcPr>
          <w:p w14:paraId="1E8FBE32"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México</w:t>
            </w:r>
          </w:p>
        </w:tc>
        <w:tc>
          <w:tcPr>
            <w:tcW w:w="496" w:type="pct"/>
            <w:tcBorders>
              <w:top w:val="nil"/>
              <w:left w:val="nil"/>
              <w:bottom w:val="single" w:sz="8" w:space="0" w:color="000000"/>
              <w:right w:val="single" w:sz="8" w:space="0" w:color="000000"/>
            </w:tcBorders>
            <w:shd w:val="clear" w:color="auto" w:fill="auto"/>
            <w:vAlign w:val="center"/>
            <w:hideMark/>
          </w:tcPr>
          <w:p w14:paraId="0B803C24"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0.6</w:t>
            </w:r>
          </w:p>
        </w:tc>
        <w:tc>
          <w:tcPr>
            <w:tcW w:w="496" w:type="pct"/>
            <w:tcBorders>
              <w:top w:val="nil"/>
              <w:left w:val="nil"/>
              <w:bottom w:val="single" w:sz="8" w:space="0" w:color="000000"/>
              <w:right w:val="single" w:sz="8" w:space="0" w:color="000000"/>
            </w:tcBorders>
            <w:shd w:val="clear" w:color="auto" w:fill="auto"/>
            <w:vAlign w:val="center"/>
            <w:hideMark/>
          </w:tcPr>
          <w:p w14:paraId="518FD87D"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1.6</w:t>
            </w:r>
          </w:p>
        </w:tc>
        <w:tc>
          <w:tcPr>
            <w:tcW w:w="495" w:type="pct"/>
            <w:tcBorders>
              <w:top w:val="nil"/>
              <w:left w:val="nil"/>
              <w:bottom w:val="single" w:sz="8" w:space="0" w:color="000000"/>
              <w:right w:val="single" w:sz="8" w:space="0" w:color="000000"/>
            </w:tcBorders>
            <w:shd w:val="clear" w:color="auto" w:fill="auto"/>
            <w:vAlign w:val="center"/>
            <w:hideMark/>
          </w:tcPr>
          <w:p w14:paraId="16712215"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2.2</w:t>
            </w:r>
          </w:p>
        </w:tc>
      </w:tr>
      <w:tr w:rsidR="00DE6D6B" w:rsidRPr="00DE6D6B" w14:paraId="0E5BB5B2" w14:textId="77777777" w:rsidTr="00AA60CC">
        <w:trPr>
          <w:trHeight w:val="20"/>
        </w:trPr>
        <w:tc>
          <w:tcPr>
            <w:tcW w:w="826" w:type="pct"/>
            <w:tcBorders>
              <w:top w:val="nil"/>
              <w:left w:val="single" w:sz="8" w:space="0" w:color="000000"/>
              <w:bottom w:val="single" w:sz="8" w:space="0" w:color="000000"/>
              <w:right w:val="single" w:sz="8" w:space="0" w:color="000000"/>
            </w:tcBorders>
            <w:shd w:val="clear" w:color="auto" w:fill="auto"/>
            <w:vAlign w:val="center"/>
            <w:hideMark/>
          </w:tcPr>
          <w:p w14:paraId="4E9731BA"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Reino Unido</w:t>
            </w:r>
          </w:p>
        </w:tc>
        <w:tc>
          <w:tcPr>
            <w:tcW w:w="496" w:type="pct"/>
            <w:tcBorders>
              <w:top w:val="nil"/>
              <w:left w:val="nil"/>
              <w:bottom w:val="single" w:sz="8" w:space="0" w:color="000000"/>
              <w:right w:val="single" w:sz="8" w:space="0" w:color="000000"/>
            </w:tcBorders>
            <w:shd w:val="clear" w:color="auto" w:fill="auto"/>
            <w:vAlign w:val="center"/>
            <w:hideMark/>
          </w:tcPr>
          <w:p w14:paraId="195B9639"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1.3</w:t>
            </w:r>
          </w:p>
        </w:tc>
        <w:tc>
          <w:tcPr>
            <w:tcW w:w="496" w:type="pct"/>
            <w:tcBorders>
              <w:top w:val="nil"/>
              <w:left w:val="nil"/>
              <w:bottom w:val="single" w:sz="8" w:space="0" w:color="000000"/>
              <w:right w:val="single" w:sz="8" w:space="0" w:color="000000"/>
            </w:tcBorders>
            <w:shd w:val="clear" w:color="auto" w:fill="auto"/>
            <w:vAlign w:val="center"/>
            <w:hideMark/>
          </w:tcPr>
          <w:p w14:paraId="699EC087"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0.8</w:t>
            </w:r>
          </w:p>
        </w:tc>
        <w:tc>
          <w:tcPr>
            <w:tcW w:w="496" w:type="pct"/>
            <w:tcBorders>
              <w:top w:val="nil"/>
              <w:left w:val="nil"/>
              <w:bottom w:val="single" w:sz="8" w:space="0" w:color="000000"/>
              <w:right w:val="single" w:sz="8" w:space="0" w:color="000000"/>
            </w:tcBorders>
            <w:shd w:val="clear" w:color="auto" w:fill="auto"/>
            <w:vAlign w:val="center"/>
            <w:hideMark/>
          </w:tcPr>
          <w:p w14:paraId="0A4CE140"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1.3</w:t>
            </w:r>
          </w:p>
        </w:tc>
        <w:tc>
          <w:tcPr>
            <w:tcW w:w="207" w:type="pct"/>
            <w:tcBorders>
              <w:top w:val="nil"/>
              <w:left w:val="nil"/>
              <w:bottom w:val="nil"/>
              <w:right w:val="nil"/>
            </w:tcBorders>
            <w:shd w:val="clear" w:color="auto" w:fill="auto"/>
            <w:noWrap/>
            <w:vAlign w:val="bottom"/>
            <w:hideMark/>
          </w:tcPr>
          <w:p w14:paraId="4269FE6F"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p>
        </w:tc>
        <w:tc>
          <w:tcPr>
            <w:tcW w:w="992" w:type="pct"/>
            <w:tcBorders>
              <w:top w:val="nil"/>
              <w:left w:val="single" w:sz="8" w:space="0" w:color="000000"/>
              <w:bottom w:val="single" w:sz="8" w:space="0" w:color="000000"/>
              <w:right w:val="single" w:sz="8" w:space="0" w:color="000000"/>
            </w:tcBorders>
            <w:shd w:val="clear" w:color="auto" w:fill="auto"/>
            <w:vAlign w:val="center"/>
            <w:hideMark/>
          </w:tcPr>
          <w:p w14:paraId="7752CC47"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Oriente Medio y Asia Central</w:t>
            </w:r>
          </w:p>
        </w:tc>
        <w:tc>
          <w:tcPr>
            <w:tcW w:w="496" w:type="pct"/>
            <w:tcBorders>
              <w:top w:val="nil"/>
              <w:left w:val="nil"/>
              <w:bottom w:val="single" w:sz="8" w:space="0" w:color="000000"/>
              <w:right w:val="single" w:sz="8" w:space="0" w:color="000000"/>
            </w:tcBorders>
            <w:shd w:val="clear" w:color="auto" w:fill="auto"/>
            <w:vAlign w:val="center"/>
            <w:hideMark/>
          </w:tcPr>
          <w:p w14:paraId="3E73A579"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3.6</w:t>
            </w:r>
          </w:p>
        </w:tc>
        <w:tc>
          <w:tcPr>
            <w:tcW w:w="496" w:type="pct"/>
            <w:tcBorders>
              <w:top w:val="nil"/>
              <w:left w:val="nil"/>
              <w:bottom w:val="single" w:sz="8" w:space="0" w:color="000000"/>
              <w:right w:val="single" w:sz="8" w:space="0" w:color="000000"/>
            </w:tcBorders>
            <w:shd w:val="clear" w:color="auto" w:fill="auto"/>
            <w:vAlign w:val="center"/>
            <w:hideMark/>
          </w:tcPr>
          <w:p w14:paraId="759FD929"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1.9</w:t>
            </w:r>
          </w:p>
        </w:tc>
        <w:tc>
          <w:tcPr>
            <w:tcW w:w="495" w:type="pct"/>
            <w:tcBorders>
              <w:top w:val="nil"/>
              <w:left w:val="nil"/>
              <w:bottom w:val="single" w:sz="8" w:space="0" w:color="000000"/>
              <w:right w:val="single" w:sz="8" w:space="0" w:color="000000"/>
            </w:tcBorders>
            <w:shd w:val="clear" w:color="auto" w:fill="auto"/>
            <w:vAlign w:val="center"/>
            <w:hideMark/>
          </w:tcPr>
          <w:p w14:paraId="105B01AB"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4.6</w:t>
            </w:r>
          </w:p>
        </w:tc>
      </w:tr>
      <w:tr w:rsidR="00DE6D6B" w:rsidRPr="00DE6D6B" w14:paraId="25B1AFD3" w14:textId="77777777" w:rsidTr="00AA60CC">
        <w:trPr>
          <w:trHeight w:val="20"/>
        </w:trPr>
        <w:tc>
          <w:tcPr>
            <w:tcW w:w="826" w:type="pct"/>
            <w:tcBorders>
              <w:top w:val="nil"/>
              <w:left w:val="single" w:sz="8" w:space="0" w:color="000000"/>
              <w:bottom w:val="single" w:sz="8" w:space="0" w:color="000000"/>
              <w:right w:val="single" w:sz="8" w:space="0" w:color="000000"/>
            </w:tcBorders>
            <w:shd w:val="clear" w:color="auto" w:fill="auto"/>
            <w:vAlign w:val="center"/>
            <w:hideMark/>
          </w:tcPr>
          <w:p w14:paraId="6F562675"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Canadá</w:t>
            </w:r>
          </w:p>
        </w:tc>
        <w:tc>
          <w:tcPr>
            <w:tcW w:w="496" w:type="pct"/>
            <w:tcBorders>
              <w:top w:val="nil"/>
              <w:left w:val="nil"/>
              <w:bottom w:val="single" w:sz="8" w:space="0" w:color="000000"/>
              <w:right w:val="single" w:sz="8" w:space="0" w:color="000000"/>
            </w:tcBorders>
            <w:shd w:val="clear" w:color="auto" w:fill="auto"/>
            <w:vAlign w:val="center"/>
            <w:hideMark/>
          </w:tcPr>
          <w:p w14:paraId="570E4A91"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1.7</w:t>
            </w:r>
          </w:p>
        </w:tc>
        <w:tc>
          <w:tcPr>
            <w:tcW w:w="496" w:type="pct"/>
            <w:tcBorders>
              <w:top w:val="nil"/>
              <w:left w:val="nil"/>
              <w:bottom w:val="single" w:sz="8" w:space="0" w:color="000000"/>
              <w:right w:val="single" w:sz="8" w:space="0" w:color="000000"/>
            </w:tcBorders>
            <w:shd w:val="clear" w:color="auto" w:fill="auto"/>
            <w:vAlign w:val="center"/>
            <w:hideMark/>
          </w:tcPr>
          <w:p w14:paraId="5A4F8473"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1.5</w:t>
            </w:r>
          </w:p>
        </w:tc>
        <w:tc>
          <w:tcPr>
            <w:tcW w:w="496" w:type="pct"/>
            <w:tcBorders>
              <w:top w:val="nil"/>
              <w:left w:val="nil"/>
              <w:bottom w:val="single" w:sz="8" w:space="0" w:color="000000"/>
              <w:right w:val="single" w:sz="8" w:space="0" w:color="000000"/>
            </w:tcBorders>
            <w:shd w:val="clear" w:color="auto" w:fill="auto"/>
            <w:vAlign w:val="center"/>
            <w:hideMark/>
          </w:tcPr>
          <w:p w14:paraId="37991F92"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1.9</w:t>
            </w:r>
          </w:p>
        </w:tc>
        <w:tc>
          <w:tcPr>
            <w:tcW w:w="207" w:type="pct"/>
            <w:tcBorders>
              <w:top w:val="nil"/>
              <w:left w:val="nil"/>
              <w:bottom w:val="nil"/>
              <w:right w:val="nil"/>
            </w:tcBorders>
            <w:shd w:val="clear" w:color="auto" w:fill="auto"/>
            <w:noWrap/>
            <w:vAlign w:val="bottom"/>
            <w:hideMark/>
          </w:tcPr>
          <w:p w14:paraId="085CFE2E"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p>
        </w:tc>
        <w:tc>
          <w:tcPr>
            <w:tcW w:w="992" w:type="pct"/>
            <w:tcBorders>
              <w:top w:val="nil"/>
              <w:left w:val="single" w:sz="8" w:space="0" w:color="000000"/>
              <w:bottom w:val="single" w:sz="8" w:space="0" w:color="000000"/>
              <w:right w:val="single" w:sz="8" w:space="0" w:color="000000"/>
            </w:tcBorders>
            <w:shd w:val="clear" w:color="auto" w:fill="auto"/>
            <w:vAlign w:val="center"/>
            <w:hideMark/>
          </w:tcPr>
          <w:p w14:paraId="728FF1E4"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Arabia Saudita</w:t>
            </w:r>
          </w:p>
        </w:tc>
        <w:tc>
          <w:tcPr>
            <w:tcW w:w="496" w:type="pct"/>
            <w:tcBorders>
              <w:top w:val="nil"/>
              <w:left w:val="nil"/>
              <w:bottom w:val="single" w:sz="8" w:space="0" w:color="000000"/>
              <w:right w:val="single" w:sz="8" w:space="0" w:color="000000"/>
            </w:tcBorders>
            <w:shd w:val="clear" w:color="auto" w:fill="auto"/>
            <w:vAlign w:val="center"/>
            <w:hideMark/>
          </w:tcPr>
          <w:p w14:paraId="173FA719"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4.5</w:t>
            </w:r>
          </w:p>
        </w:tc>
        <w:tc>
          <w:tcPr>
            <w:tcW w:w="496" w:type="pct"/>
            <w:tcBorders>
              <w:top w:val="nil"/>
              <w:left w:val="nil"/>
              <w:bottom w:val="single" w:sz="8" w:space="0" w:color="000000"/>
              <w:right w:val="single" w:sz="8" w:space="0" w:color="000000"/>
            </w:tcBorders>
            <w:shd w:val="clear" w:color="auto" w:fill="auto"/>
            <w:vAlign w:val="center"/>
            <w:hideMark/>
          </w:tcPr>
          <w:p w14:paraId="7FFA39E1"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3.1</w:t>
            </w:r>
          </w:p>
        </w:tc>
        <w:tc>
          <w:tcPr>
            <w:tcW w:w="495" w:type="pct"/>
            <w:tcBorders>
              <w:top w:val="nil"/>
              <w:left w:val="nil"/>
              <w:bottom w:val="single" w:sz="8" w:space="0" w:color="000000"/>
              <w:right w:val="single" w:sz="8" w:space="0" w:color="000000"/>
            </w:tcBorders>
            <w:shd w:val="clear" w:color="auto" w:fill="auto"/>
            <w:vAlign w:val="center"/>
            <w:hideMark/>
          </w:tcPr>
          <w:p w14:paraId="3D8B57BD"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4.5</w:t>
            </w:r>
          </w:p>
        </w:tc>
      </w:tr>
      <w:tr w:rsidR="00DE6D6B" w:rsidRPr="00DE6D6B" w14:paraId="30CC6F23" w14:textId="77777777" w:rsidTr="00AA60CC">
        <w:trPr>
          <w:trHeight w:val="20"/>
        </w:trPr>
        <w:tc>
          <w:tcPr>
            <w:tcW w:w="826" w:type="pct"/>
            <w:tcBorders>
              <w:top w:val="nil"/>
              <w:left w:val="single" w:sz="8" w:space="0" w:color="000000"/>
              <w:bottom w:val="single" w:sz="8" w:space="0" w:color="000000"/>
              <w:right w:val="single" w:sz="8" w:space="0" w:color="000000"/>
            </w:tcBorders>
            <w:shd w:val="clear" w:color="auto" w:fill="auto"/>
            <w:vAlign w:val="center"/>
            <w:hideMark/>
          </w:tcPr>
          <w:p w14:paraId="2CB2F40A"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Otras economías avanzadas</w:t>
            </w:r>
          </w:p>
        </w:tc>
        <w:tc>
          <w:tcPr>
            <w:tcW w:w="496" w:type="pct"/>
            <w:tcBorders>
              <w:top w:val="nil"/>
              <w:left w:val="nil"/>
              <w:bottom w:val="single" w:sz="8" w:space="0" w:color="000000"/>
              <w:right w:val="single" w:sz="8" w:space="0" w:color="000000"/>
            </w:tcBorders>
            <w:shd w:val="clear" w:color="auto" w:fill="auto"/>
            <w:vAlign w:val="center"/>
            <w:hideMark/>
          </w:tcPr>
          <w:p w14:paraId="6848FAEC"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3</w:t>
            </w:r>
          </w:p>
        </w:tc>
        <w:tc>
          <w:tcPr>
            <w:tcW w:w="496" w:type="pct"/>
            <w:tcBorders>
              <w:top w:val="nil"/>
              <w:left w:val="nil"/>
              <w:bottom w:val="single" w:sz="8" w:space="0" w:color="000000"/>
              <w:right w:val="single" w:sz="8" w:space="0" w:color="000000"/>
            </w:tcBorders>
            <w:shd w:val="clear" w:color="auto" w:fill="auto"/>
            <w:vAlign w:val="center"/>
            <w:hideMark/>
          </w:tcPr>
          <w:p w14:paraId="52CF2106"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2.6</w:t>
            </w:r>
          </w:p>
        </w:tc>
        <w:tc>
          <w:tcPr>
            <w:tcW w:w="496" w:type="pct"/>
            <w:tcBorders>
              <w:top w:val="nil"/>
              <w:left w:val="nil"/>
              <w:bottom w:val="single" w:sz="8" w:space="0" w:color="000000"/>
              <w:right w:val="single" w:sz="8" w:space="0" w:color="000000"/>
            </w:tcBorders>
            <w:shd w:val="clear" w:color="auto" w:fill="auto"/>
            <w:vAlign w:val="center"/>
            <w:hideMark/>
          </w:tcPr>
          <w:p w14:paraId="6F32D598"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2.2</w:t>
            </w:r>
          </w:p>
        </w:tc>
        <w:tc>
          <w:tcPr>
            <w:tcW w:w="207" w:type="pct"/>
            <w:tcBorders>
              <w:top w:val="nil"/>
              <w:left w:val="nil"/>
              <w:bottom w:val="nil"/>
              <w:right w:val="nil"/>
            </w:tcBorders>
            <w:shd w:val="clear" w:color="auto" w:fill="auto"/>
            <w:noWrap/>
            <w:vAlign w:val="bottom"/>
            <w:hideMark/>
          </w:tcPr>
          <w:p w14:paraId="0C391013"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p>
        </w:tc>
        <w:tc>
          <w:tcPr>
            <w:tcW w:w="992" w:type="pct"/>
            <w:tcBorders>
              <w:top w:val="nil"/>
              <w:left w:val="single" w:sz="8" w:space="0" w:color="000000"/>
              <w:bottom w:val="single" w:sz="8" w:space="0" w:color="000000"/>
              <w:right w:val="single" w:sz="8" w:space="0" w:color="000000"/>
            </w:tcBorders>
            <w:shd w:val="clear" w:color="auto" w:fill="auto"/>
            <w:vAlign w:val="center"/>
            <w:hideMark/>
          </w:tcPr>
          <w:p w14:paraId="042A5317"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África subsahariana</w:t>
            </w:r>
          </w:p>
        </w:tc>
        <w:tc>
          <w:tcPr>
            <w:tcW w:w="496" w:type="pct"/>
            <w:tcBorders>
              <w:top w:val="nil"/>
              <w:left w:val="nil"/>
              <w:bottom w:val="single" w:sz="8" w:space="0" w:color="000000"/>
              <w:right w:val="single" w:sz="8" w:space="0" w:color="000000"/>
            </w:tcBorders>
            <w:shd w:val="clear" w:color="auto" w:fill="auto"/>
            <w:vAlign w:val="center"/>
            <w:hideMark/>
          </w:tcPr>
          <w:p w14:paraId="66C256F2"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4.5</w:t>
            </w:r>
          </w:p>
        </w:tc>
        <w:tc>
          <w:tcPr>
            <w:tcW w:w="496" w:type="pct"/>
            <w:tcBorders>
              <w:top w:val="nil"/>
              <w:left w:val="nil"/>
              <w:bottom w:val="single" w:sz="8" w:space="0" w:color="000000"/>
              <w:right w:val="single" w:sz="8" w:space="0" w:color="000000"/>
            </w:tcBorders>
            <w:shd w:val="clear" w:color="auto" w:fill="auto"/>
            <w:vAlign w:val="center"/>
            <w:hideMark/>
          </w:tcPr>
          <w:p w14:paraId="488E6797"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4.3</w:t>
            </w:r>
          </w:p>
        </w:tc>
        <w:tc>
          <w:tcPr>
            <w:tcW w:w="495" w:type="pct"/>
            <w:tcBorders>
              <w:top w:val="nil"/>
              <w:left w:val="nil"/>
              <w:bottom w:val="single" w:sz="8" w:space="0" w:color="000000"/>
              <w:right w:val="single" w:sz="8" w:space="0" w:color="000000"/>
            </w:tcBorders>
            <w:shd w:val="clear" w:color="auto" w:fill="auto"/>
            <w:vAlign w:val="center"/>
            <w:hideMark/>
          </w:tcPr>
          <w:p w14:paraId="1A28F85B"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4.4</w:t>
            </w:r>
          </w:p>
        </w:tc>
      </w:tr>
      <w:tr w:rsidR="00DE6D6B" w:rsidRPr="00DE6D6B" w14:paraId="375E53F3" w14:textId="77777777" w:rsidTr="00AA60CC">
        <w:trPr>
          <w:trHeight w:val="20"/>
        </w:trPr>
        <w:tc>
          <w:tcPr>
            <w:tcW w:w="826" w:type="pct"/>
            <w:tcBorders>
              <w:top w:val="nil"/>
              <w:left w:val="nil"/>
              <w:bottom w:val="nil"/>
              <w:right w:val="nil"/>
            </w:tcBorders>
            <w:shd w:val="clear" w:color="auto" w:fill="auto"/>
            <w:noWrap/>
            <w:vAlign w:val="bottom"/>
            <w:hideMark/>
          </w:tcPr>
          <w:p w14:paraId="2DD04E68"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p>
        </w:tc>
        <w:tc>
          <w:tcPr>
            <w:tcW w:w="496" w:type="pct"/>
            <w:tcBorders>
              <w:top w:val="nil"/>
              <w:left w:val="nil"/>
              <w:bottom w:val="nil"/>
              <w:right w:val="nil"/>
            </w:tcBorders>
            <w:shd w:val="clear" w:color="auto" w:fill="auto"/>
            <w:noWrap/>
            <w:vAlign w:val="bottom"/>
            <w:hideMark/>
          </w:tcPr>
          <w:p w14:paraId="2B5CCA91" w14:textId="77777777" w:rsidR="00DE6D6B" w:rsidRPr="00DE6D6B" w:rsidRDefault="00DE6D6B" w:rsidP="00DE6D6B">
            <w:pPr>
              <w:spacing w:after="0" w:line="240" w:lineRule="auto"/>
              <w:rPr>
                <w:rFonts w:ascii="Arial" w:eastAsia="Times New Roman" w:hAnsi="Arial" w:cs="Arial"/>
                <w:kern w:val="0"/>
                <w:sz w:val="16"/>
                <w:szCs w:val="16"/>
                <w:lang w:eastAsia="es-MX"/>
                <w14:ligatures w14:val="none"/>
              </w:rPr>
            </w:pPr>
          </w:p>
        </w:tc>
        <w:tc>
          <w:tcPr>
            <w:tcW w:w="496" w:type="pct"/>
            <w:tcBorders>
              <w:top w:val="nil"/>
              <w:left w:val="nil"/>
              <w:bottom w:val="nil"/>
              <w:right w:val="nil"/>
            </w:tcBorders>
            <w:shd w:val="clear" w:color="auto" w:fill="auto"/>
            <w:noWrap/>
            <w:vAlign w:val="bottom"/>
            <w:hideMark/>
          </w:tcPr>
          <w:p w14:paraId="21D3EDE6" w14:textId="77777777" w:rsidR="00DE6D6B" w:rsidRPr="00DE6D6B" w:rsidRDefault="00DE6D6B" w:rsidP="00DE6D6B">
            <w:pPr>
              <w:spacing w:after="0" w:line="240" w:lineRule="auto"/>
              <w:rPr>
                <w:rFonts w:ascii="Arial" w:eastAsia="Times New Roman" w:hAnsi="Arial" w:cs="Arial"/>
                <w:kern w:val="0"/>
                <w:sz w:val="16"/>
                <w:szCs w:val="16"/>
                <w:lang w:eastAsia="es-MX"/>
                <w14:ligatures w14:val="none"/>
              </w:rPr>
            </w:pPr>
          </w:p>
        </w:tc>
        <w:tc>
          <w:tcPr>
            <w:tcW w:w="496" w:type="pct"/>
            <w:tcBorders>
              <w:top w:val="nil"/>
              <w:left w:val="nil"/>
              <w:bottom w:val="nil"/>
              <w:right w:val="nil"/>
            </w:tcBorders>
            <w:shd w:val="clear" w:color="auto" w:fill="auto"/>
            <w:noWrap/>
            <w:vAlign w:val="bottom"/>
            <w:hideMark/>
          </w:tcPr>
          <w:p w14:paraId="5A5A667F" w14:textId="77777777" w:rsidR="00DE6D6B" w:rsidRPr="00DE6D6B" w:rsidRDefault="00DE6D6B" w:rsidP="00DE6D6B">
            <w:pPr>
              <w:spacing w:after="0" w:line="240" w:lineRule="auto"/>
              <w:rPr>
                <w:rFonts w:ascii="Arial" w:eastAsia="Times New Roman" w:hAnsi="Arial" w:cs="Arial"/>
                <w:kern w:val="0"/>
                <w:sz w:val="16"/>
                <w:szCs w:val="16"/>
                <w:lang w:eastAsia="es-MX"/>
                <w14:ligatures w14:val="none"/>
              </w:rPr>
            </w:pPr>
          </w:p>
        </w:tc>
        <w:tc>
          <w:tcPr>
            <w:tcW w:w="207" w:type="pct"/>
            <w:tcBorders>
              <w:top w:val="nil"/>
              <w:left w:val="nil"/>
              <w:bottom w:val="nil"/>
              <w:right w:val="nil"/>
            </w:tcBorders>
            <w:shd w:val="clear" w:color="auto" w:fill="auto"/>
            <w:noWrap/>
            <w:vAlign w:val="bottom"/>
            <w:hideMark/>
          </w:tcPr>
          <w:p w14:paraId="591AFD16" w14:textId="77777777" w:rsidR="00DE6D6B" w:rsidRPr="00DE6D6B" w:rsidRDefault="00DE6D6B" w:rsidP="00DE6D6B">
            <w:pPr>
              <w:spacing w:after="0" w:line="240" w:lineRule="auto"/>
              <w:rPr>
                <w:rFonts w:ascii="Arial" w:eastAsia="Times New Roman" w:hAnsi="Arial" w:cs="Arial"/>
                <w:kern w:val="0"/>
                <w:sz w:val="16"/>
                <w:szCs w:val="16"/>
                <w:lang w:eastAsia="es-MX"/>
                <w14:ligatures w14:val="none"/>
              </w:rPr>
            </w:pPr>
          </w:p>
        </w:tc>
        <w:tc>
          <w:tcPr>
            <w:tcW w:w="992" w:type="pct"/>
            <w:tcBorders>
              <w:top w:val="nil"/>
              <w:left w:val="single" w:sz="8" w:space="0" w:color="000000"/>
              <w:bottom w:val="single" w:sz="8" w:space="0" w:color="000000"/>
              <w:right w:val="single" w:sz="8" w:space="0" w:color="000000"/>
            </w:tcBorders>
            <w:shd w:val="clear" w:color="auto" w:fill="auto"/>
            <w:vAlign w:val="center"/>
            <w:hideMark/>
          </w:tcPr>
          <w:p w14:paraId="7B6C24DB"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Nigeria</w:t>
            </w:r>
          </w:p>
        </w:tc>
        <w:tc>
          <w:tcPr>
            <w:tcW w:w="496" w:type="pct"/>
            <w:tcBorders>
              <w:top w:val="nil"/>
              <w:left w:val="nil"/>
              <w:bottom w:val="single" w:sz="8" w:space="0" w:color="000000"/>
              <w:right w:val="single" w:sz="8" w:space="0" w:color="000000"/>
            </w:tcBorders>
            <w:shd w:val="clear" w:color="auto" w:fill="auto"/>
            <w:vAlign w:val="center"/>
            <w:hideMark/>
          </w:tcPr>
          <w:p w14:paraId="7ECEED07"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4</w:t>
            </w:r>
          </w:p>
        </w:tc>
        <w:tc>
          <w:tcPr>
            <w:tcW w:w="496" w:type="pct"/>
            <w:tcBorders>
              <w:top w:val="nil"/>
              <w:left w:val="nil"/>
              <w:bottom w:val="single" w:sz="8" w:space="0" w:color="000000"/>
              <w:right w:val="single" w:sz="8" w:space="0" w:color="000000"/>
            </w:tcBorders>
            <w:shd w:val="clear" w:color="auto" w:fill="auto"/>
            <w:vAlign w:val="center"/>
            <w:hideMark/>
          </w:tcPr>
          <w:p w14:paraId="63680EF7"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4.1</w:t>
            </w:r>
          </w:p>
        </w:tc>
        <w:tc>
          <w:tcPr>
            <w:tcW w:w="495" w:type="pct"/>
            <w:tcBorders>
              <w:top w:val="nil"/>
              <w:left w:val="nil"/>
              <w:bottom w:val="single" w:sz="8" w:space="0" w:color="000000"/>
              <w:right w:val="single" w:sz="8" w:space="0" w:color="000000"/>
            </w:tcBorders>
            <w:shd w:val="clear" w:color="auto" w:fill="auto"/>
            <w:vAlign w:val="center"/>
            <w:hideMark/>
          </w:tcPr>
          <w:p w14:paraId="2A130973"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4.3</w:t>
            </w:r>
          </w:p>
        </w:tc>
      </w:tr>
      <w:tr w:rsidR="00DE6D6B" w:rsidRPr="00DE6D6B" w14:paraId="39840F8F" w14:textId="77777777" w:rsidTr="00AA60CC">
        <w:trPr>
          <w:trHeight w:val="20"/>
        </w:trPr>
        <w:tc>
          <w:tcPr>
            <w:tcW w:w="826" w:type="pct"/>
            <w:tcBorders>
              <w:top w:val="nil"/>
              <w:left w:val="nil"/>
              <w:bottom w:val="nil"/>
              <w:right w:val="nil"/>
            </w:tcBorders>
            <w:shd w:val="clear" w:color="auto" w:fill="auto"/>
            <w:noWrap/>
            <w:vAlign w:val="bottom"/>
            <w:hideMark/>
          </w:tcPr>
          <w:p w14:paraId="38C75C95"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p>
        </w:tc>
        <w:tc>
          <w:tcPr>
            <w:tcW w:w="496" w:type="pct"/>
            <w:tcBorders>
              <w:top w:val="nil"/>
              <w:left w:val="nil"/>
              <w:bottom w:val="nil"/>
              <w:right w:val="nil"/>
            </w:tcBorders>
            <w:shd w:val="clear" w:color="auto" w:fill="auto"/>
            <w:noWrap/>
            <w:vAlign w:val="bottom"/>
            <w:hideMark/>
          </w:tcPr>
          <w:p w14:paraId="533788A9" w14:textId="77777777" w:rsidR="00DE6D6B" w:rsidRPr="00DE6D6B" w:rsidRDefault="00DE6D6B" w:rsidP="00DE6D6B">
            <w:pPr>
              <w:spacing w:after="0" w:line="240" w:lineRule="auto"/>
              <w:rPr>
                <w:rFonts w:ascii="Arial" w:eastAsia="Times New Roman" w:hAnsi="Arial" w:cs="Arial"/>
                <w:kern w:val="0"/>
                <w:sz w:val="16"/>
                <w:szCs w:val="16"/>
                <w:lang w:eastAsia="es-MX"/>
                <w14:ligatures w14:val="none"/>
              </w:rPr>
            </w:pPr>
          </w:p>
        </w:tc>
        <w:tc>
          <w:tcPr>
            <w:tcW w:w="496" w:type="pct"/>
            <w:tcBorders>
              <w:top w:val="nil"/>
              <w:left w:val="nil"/>
              <w:bottom w:val="nil"/>
              <w:right w:val="nil"/>
            </w:tcBorders>
            <w:shd w:val="clear" w:color="auto" w:fill="auto"/>
            <w:noWrap/>
            <w:vAlign w:val="bottom"/>
            <w:hideMark/>
          </w:tcPr>
          <w:p w14:paraId="14828EA5" w14:textId="77777777" w:rsidR="00DE6D6B" w:rsidRPr="00DE6D6B" w:rsidRDefault="00DE6D6B" w:rsidP="00DE6D6B">
            <w:pPr>
              <w:spacing w:after="0" w:line="240" w:lineRule="auto"/>
              <w:rPr>
                <w:rFonts w:ascii="Arial" w:eastAsia="Times New Roman" w:hAnsi="Arial" w:cs="Arial"/>
                <w:kern w:val="0"/>
                <w:sz w:val="16"/>
                <w:szCs w:val="16"/>
                <w:lang w:eastAsia="es-MX"/>
                <w14:ligatures w14:val="none"/>
              </w:rPr>
            </w:pPr>
          </w:p>
        </w:tc>
        <w:tc>
          <w:tcPr>
            <w:tcW w:w="496" w:type="pct"/>
            <w:tcBorders>
              <w:top w:val="nil"/>
              <w:left w:val="nil"/>
              <w:bottom w:val="nil"/>
              <w:right w:val="nil"/>
            </w:tcBorders>
            <w:shd w:val="clear" w:color="auto" w:fill="auto"/>
            <w:noWrap/>
            <w:vAlign w:val="bottom"/>
            <w:hideMark/>
          </w:tcPr>
          <w:p w14:paraId="6FA6FBD9" w14:textId="77777777" w:rsidR="00DE6D6B" w:rsidRPr="00DE6D6B" w:rsidRDefault="00DE6D6B" w:rsidP="00DE6D6B">
            <w:pPr>
              <w:spacing w:after="0" w:line="240" w:lineRule="auto"/>
              <w:rPr>
                <w:rFonts w:ascii="Arial" w:eastAsia="Times New Roman" w:hAnsi="Arial" w:cs="Arial"/>
                <w:kern w:val="0"/>
                <w:sz w:val="16"/>
                <w:szCs w:val="16"/>
                <w:lang w:eastAsia="es-MX"/>
                <w14:ligatures w14:val="none"/>
              </w:rPr>
            </w:pPr>
          </w:p>
        </w:tc>
        <w:tc>
          <w:tcPr>
            <w:tcW w:w="207" w:type="pct"/>
            <w:tcBorders>
              <w:top w:val="nil"/>
              <w:left w:val="nil"/>
              <w:bottom w:val="nil"/>
              <w:right w:val="nil"/>
            </w:tcBorders>
            <w:shd w:val="clear" w:color="auto" w:fill="auto"/>
            <w:noWrap/>
            <w:vAlign w:val="bottom"/>
            <w:hideMark/>
          </w:tcPr>
          <w:p w14:paraId="74189E9A" w14:textId="77777777" w:rsidR="00DE6D6B" w:rsidRPr="00DE6D6B" w:rsidRDefault="00DE6D6B" w:rsidP="00DE6D6B">
            <w:pPr>
              <w:spacing w:after="0" w:line="240" w:lineRule="auto"/>
              <w:rPr>
                <w:rFonts w:ascii="Arial" w:eastAsia="Times New Roman" w:hAnsi="Arial" w:cs="Arial"/>
                <w:kern w:val="0"/>
                <w:sz w:val="16"/>
                <w:szCs w:val="16"/>
                <w:lang w:eastAsia="es-MX"/>
                <w14:ligatures w14:val="none"/>
              </w:rPr>
            </w:pPr>
          </w:p>
        </w:tc>
        <w:tc>
          <w:tcPr>
            <w:tcW w:w="992" w:type="pct"/>
            <w:tcBorders>
              <w:top w:val="nil"/>
              <w:left w:val="single" w:sz="8" w:space="0" w:color="000000"/>
              <w:bottom w:val="single" w:sz="8" w:space="0" w:color="000000"/>
              <w:right w:val="single" w:sz="8" w:space="0" w:color="000000"/>
            </w:tcBorders>
            <w:shd w:val="clear" w:color="auto" w:fill="auto"/>
            <w:vAlign w:val="center"/>
            <w:hideMark/>
          </w:tcPr>
          <w:p w14:paraId="6F897400" w14:textId="77777777" w:rsidR="00DE6D6B" w:rsidRPr="00DE6D6B" w:rsidRDefault="00DE6D6B" w:rsidP="00DE6D6B">
            <w:pPr>
              <w:spacing w:after="0" w:line="240" w:lineRule="auto"/>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      Sudáfrica</w:t>
            </w:r>
          </w:p>
        </w:tc>
        <w:tc>
          <w:tcPr>
            <w:tcW w:w="496" w:type="pct"/>
            <w:tcBorders>
              <w:top w:val="nil"/>
              <w:left w:val="nil"/>
              <w:bottom w:val="single" w:sz="8" w:space="0" w:color="000000"/>
              <w:right w:val="single" w:sz="8" w:space="0" w:color="000000"/>
            </w:tcBorders>
            <w:shd w:val="clear" w:color="auto" w:fill="auto"/>
            <w:vAlign w:val="center"/>
            <w:hideMark/>
          </w:tcPr>
          <w:p w14:paraId="07342029"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1.1</w:t>
            </w:r>
          </w:p>
        </w:tc>
        <w:tc>
          <w:tcPr>
            <w:tcW w:w="496" w:type="pct"/>
            <w:tcBorders>
              <w:top w:val="nil"/>
              <w:left w:val="nil"/>
              <w:bottom w:val="single" w:sz="8" w:space="0" w:color="000000"/>
              <w:right w:val="single" w:sz="8" w:space="0" w:color="000000"/>
            </w:tcBorders>
            <w:shd w:val="clear" w:color="auto" w:fill="auto"/>
            <w:vAlign w:val="center"/>
            <w:hideMark/>
          </w:tcPr>
          <w:p w14:paraId="75C2779E"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w:t>
            </w:r>
          </w:p>
        </w:tc>
        <w:tc>
          <w:tcPr>
            <w:tcW w:w="495" w:type="pct"/>
            <w:tcBorders>
              <w:top w:val="nil"/>
              <w:left w:val="nil"/>
              <w:bottom w:val="single" w:sz="8" w:space="0" w:color="000000"/>
              <w:right w:val="single" w:sz="8" w:space="0" w:color="000000"/>
            </w:tcBorders>
            <w:shd w:val="clear" w:color="auto" w:fill="auto"/>
            <w:vAlign w:val="center"/>
            <w:hideMark/>
          </w:tcPr>
          <w:p w14:paraId="4073E77A" w14:textId="77777777" w:rsidR="00DE6D6B" w:rsidRPr="00DE6D6B" w:rsidRDefault="00DE6D6B" w:rsidP="00DE6D6B">
            <w:pPr>
              <w:spacing w:after="0" w:line="240" w:lineRule="auto"/>
              <w:jc w:val="center"/>
              <w:rPr>
                <w:rFonts w:ascii="Arial" w:eastAsia="Times New Roman" w:hAnsi="Arial" w:cs="Arial"/>
                <w:color w:val="1F1F1F"/>
                <w:kern w:val="0"/>
                <w:sz w:val="16"/>
                <w:szCs w:val="16"/>
                <w:lang w:eastAsia="es-MX"/>
                <w14:ligatures w14:val="none"/>
              </w:rPr>
            </w:pPr>
            <w:r w:rsidRPr="00DE6D6B">
              <w:rPr>
                <w:rFonts w:ascii="Arial" w:eastAsia="Times New Roman" w:hAnsi="Arial" w:cs="Arial"/>
                <w:color w:val="1F1F1F"/>
                <w:kern w:val="0"/>
                <w:sz w:val="16"/>
                <w:szCs w:val="16"/>
                <w:lang w:eastAsia="es-MX"/>
                <w14:ligatures w14:val="none"/>
              </w:rPr>
              <w:t>1.3</w:t>
            </w:r>
          </w:p>
        </w:tc>
      </w:tr>
    </w:tbl>
    <w:p w14:paraId="7859CC04" w14:textId="77777777" w:rsidR="00DE6D6B" w:rsidRPr="00DE6D6B" w:rsidRDefault="00DE6D6B" w:rsidP="00DE6D6B">
      <w:pPr>
        <w:spacing w:after="0" w:line="276" w:lineRule="auto"/>
        <w:jc w:val="center"/>
        <w:rPr>
          <w:rFonts w:ascii="Arial" w:hAnsi="Arial" w:cs="Arial"/>
          <w:kern w:val="0"/>
          <w:sz w:val="20"/>
          <w:szCs w:val="24"/>
          <w:lang w:eastAsia="es-MX"/>
          <w14:ligatures w14:val="none"/>
        </w:rPr>
      </w:pPr>
      <w:r w:rsidRPr="00DE6D6B">
        <w:rPr>
          <w:rFonts w:ascii="Arial" w:hAnsi="Arial" w:cs="Arial"/>
          <w:kern w:val="0"/>
          <w:sz w:val="20"/>
          <w:szCs w:val="24"/>
          <w:lang w:eastAsia="es-MX"/>
          <w14:ligatures w14:val="none"/>
        </w:rPr>
        <w:t>Fuente: Información del Fondo Monetario Internacional, (FMI, 2026).</w:t>
      </w:r>
    </w:p>
    <w:p w14:paraId="643CAD01" w14:textId="77777777" w:rsidR="00DE6D6B" w:rsidRDefault="00DE6D6B" w:rsidP="00DE23FE">
      <w:pPr>
        <w:spacing w:line="276" w:lineRule="auto"/>
        <w:ind w:left="-397"/>
        <w:jc w:val="both"/>
        <w:rPr>
          <w:rFonts w:ascii="Arial" w:hAnsi="Arial" w:cs="Arial"/>
          <w:b/>
          <w:bCs/>
        </w:rPr>
      </w:pPr>
    </w:p>
    <w:p w14:paraId="70D99E29" w14:textId="77777777" w:rsidR="00DE6D6B" w:rsidRDefault="00DE6D6B" w:rsidP="00DE23FE">
      <w:pPr>
        <w:spacing w:line="276" w:lineRule="auto"/>
        <w:ind w:left="-397"/>
        <w:jc w:val="both"/>
        <w:rPr>
          <w:rFonts w:ascii="Arial" w:hAnsi="Arial" w:cs="Arial"/>
          <w:b/>
          <w:bCs/>
        </w:rPr>
      </w:pPr>
    </w:p>
    <w:p w14:paraId="4F0A4C2B" w14:textId="3DCC1FB2" w:rsidR="00DE6D6B" w:rsidRDefault="00DE6D6B" w:rsidP="00DE23FE">
      <w:pPr>
        <w:spacing w:line="276" w:lineRule="auto"/>
        <w:ind w:left="-397"/>
        <w:jc w:val="both"/>
        <w:rPr>
          <w:rFonts w:ascii="Arial" w:hAnsi="Arial" w:cs="Arial"/>
          <w:b/>
          <w:bCs/>
        </w:rPr>
      </w:pPr>
    </w:p>
    <w:p w14:paraId="22F4F0DF" w14:textId="77777777" w:rsidR="00DE6D6B" w:rsidRPr="00DE6D6B" w:rsidRDefault="00DE6D6B" w:rsidP="006B5A64">
      <w:pPr>
        <w:spacing w:line="360" w:lineRule="auto"/>
        <w:ind w:left="-397"/>
        <w:jc w:val="both"/>
        <w:rPr>
          <w:rFonts w:ascii="Arial" w:hAnsi="Arial" w:cs="Arial"/>
          <w:kern w:val="0"/>
          <w:sz w:val="24"/>
          <w:szCs w:val="24"/>
        </w:rPr>
      </w:pPr>
      <w:r w:rsidRPr="00DE6D6B">
        <w:rPr>
          <w:rFonts w:ascii="Arial" w:hAnsi="Arial" w:cs="Arial"/>
          <w:kern w:val="0"/>
          <w:sz w:val="24"/>
          <w:szCs w:val="24"/>
        </w:rPr>
        <w:t>En síntesis, Este panorama exige una administración financiera centrada en la prudencia y la vigilancia rigurosa de los márgenes operativos, reconociendo que la estabilidad de los estados financieros actuales está intrínsecamente ligada a la resolución de los conflictos en las arterias comerciales y energéticas más críticas del mundo.</w:t>
      </w:r>
    </w:p>
    <w:p w14:paraId="2A0FFB94" w14:textId="7104024B" w:rsidR="00DE6D6B" w:rsidRDefault="00DE6D6B" w:rsidP="00DE23FE">
      <w:pPr>
        <w:spacing w:line="276" w:lineRule="auto"/>
        <w:ind w:left="-397"/>
        <w:jc w:val="both"/>
        <w:rPr>
          <w:rFonts w:ascii="Arial" w:hAnsi="Arial" w:cs="Arial"/>
          <w:b/>
          <w:bCs/>
        </w:rPr>
      </w:pPr>
    </w:p>
    <w:p w14:paraId="41D8F93F" w14:textId="3BDEC56C" w:rsidR="006B5A64" w:rsidRDefault="006B5A64" w:rsidP="00DE23FE">
      <w:pPr>
        <w:spacing w:line="276" w:lineRule="auto"/>
        <w:ind w:left="-397"/>
        <w:jc w:val="both"/>
        <w:rPr>
          <w:rFonts w:ascii="Arial" w:hAnsi="Arial" w:cs="Arial"/>
          <w:b/>
          <w:bCs/>
        </w:rPr>
      </w:pPr>
    </w:p>
    <w:p w14:paraId="6C488A69" w14:textId="35F2D79B" w:rsidR="006B5A64" w:rsidRDefault="006B5A64" w:rsidP="00DE23FE">
      <w:pPr>
        <w:spacing w:line="276" w:lineRule="auto"/>
        <w:ind w:left="-397"/>
        <w:jc w:val="both"/>
        <w:rPr>
          <w:rFonts w:ascii="Arial" w:hAnsi="Arial" w:cs="Arial"/>
          <w:b/>
          <w:bCs/>
        </w:rPr>
      </w:pPr>
    </w:p>
    <w:p w14:paraId="404619B8" w14:textId="5C557B76" w:rsidR="006B5A64" w:rsidRDefault="006B5A64" w:rsidP="00DE23FE">
      <w:pPr>
        <w:spacing w:line="276" w:lineRule="auto"/>
        <w:ind w:left="-397"/>
        <w:jc w:val="both"/>
        <w:rPr>
          <w:rFonts w:ascii="Arial" w:hAnsi="Arial" w:cs="Arial"/>
          <w:b/>
          <w:bCs/>
        </w:rPr>
      </w:pPr>
    </w:p>
    <w:p w14:paraId="566E52FB" w14:textId="61723D59" w:rsidR="006B5A64" w:rsidRDefault="006B5A64" w:rsidP="00DE23FE">
      <w:pPr>
        <w:spacing w:line="276" w:lineRule="auto"/>
        <w:ind w:left="-397"/>
        <w:jc w:val="both"/>
        <w:rPr>
          <w:rFonts w:ascii="Arial" w:hAnsi="Arial" w:cs="Arial"/>
          <w:b/>
          <w:bCs/>
        </w:rPr>
      </w:pPr>
    </w:p>
    <w:p w14:paraId="76A87B2F" w14:textId="388AC3F1" w:rsidR="006B5A64" w:rsidRDefault="006B5A64" w:rsidP="00DE23FE">
      <w:pPr>
        <w:spacing w:line="276" w:lineRule="auto"/>
        <w:ind w:left="-397"/>
        <w:jc w:val="both"/>
        <w:rPr>
          <w:rFonts w:ascii="Arial" w:hAnsi="Arial" w:cs="Arial"/>
          <w:b/>
          <w:bCs/>
        </w:rPr>
      </w:pPr>
    </w:p>
    <w:p w14:paraId="3E8BD6C8" w14:textId="77777777" w:rsidR="006B5A64" w:rsidRDefault="006B5A64" w:rsidP="00DE23FE">
      <w:pPr>
        <w:spacing w:line="276" w:lineRule="auto"/>
        <w:ind w:left="-397"/>
        <w:jc w:val="both"/>
        <w:rPr>
          <w:rFonts w:ascii="Arial" w:hAnsi="Arial" w:cs="Arial"/>
          <w:b/>
          <w:bCs/>
        </w:rPr>
      </w:pPr>
    </w:p>
    <w:p w14:paraId="3DC917C3" w14:textId="77777777" w:rsidR="00DE6D6B" w:rsidRDefault="00DE6D6B" w:rsidP="00DE23FE">
      <w:pPr>
        <w:spacing w:line="276" w:lineRule="auto"/>
        <w:ind w:left="-397"/>
        <w:jc w:val="both"/>
        <w:rPr>
          <w:rFonts w:ascii="Arial" w:hAnsi="Arial" w:cs="Arial"/>
          <w:b/>
          <w:bCs/>
        </w:rPr>
      </w:pPr>
    </w:p>
    <w:p w14:paraId="1CEA4A24" w14:textId="5F6E2DFF" w:rsidR="00C31C81" w:rsidRDefault="002E39F5" w:rsidP="00DE23FE">
      <w:pPr>
        <w:spacing w:line="276" w:lineRule="auto"/>
        <w:ind w:left="-397"/>
        <w:jc w:val="both"/>
        <w:rPr>
          <w:rFonts w:ascii="Arial" w:hAnsi="Arial" w:cs="Arial"/>
          <w:b/>
          <w:bCs/>
        </w:rPr>
      </w:pPr>
      <w:r>
        <w:rPr>
          <w:rFonts w:ascii="Arial" w:hAnsi="Arial" w:cs="Arial"/>
          <w:b/>
          <w:bCs/>
        </w:rPr>
        <w:lastRenderedPageBreak/>
        <w:t>Panorama Económico en el ámbito</w:t>
      </w:r>
      <w:r w:rsidR="00C31C81" w:rsidRPr="00E67437">
        <w:rPr>
          <w:rFonts w:ascii="Arial" w:hAnsi="Arial" w:cs="Arial"/>
          <w:b/>
          <w:bCs/>
        </w:rPr>
        <w:t xml:space="preserve"> </w:t>
      </w:r>
      <w:r w:rsidR="000C1B8C">
        <w:rPr>
          <w:rFonts w:ascii="Arial" w:hAnsi="Arial" w:cs="Arial"/>
          <w:b/>
          <w:bCs/>
        </w:rPr>
        <w:t>N</w:t>
      </w:r>
      <w:r w:rsidR="00C31C81" w:rsidRPr="00E67437">
        <w:rPr>
          <w:rFonts w:ascii="Arial" w:hAnsi="Arial" w:cs="Arial"/>
          <w:b/>
          <w:bCs/>
        </w:rPr>
        <w:t>acional</w:t>
      </w:r>
    </w:p>
    <w:p w14:paraId="1E10811B" w14:textId="0423AB62" w:rsidR="002E39F5" w:rsidRDefault="002E39F5" w:rsidP="00EC5ABF">
      <w:pPr>
        <w:spacing w:after="0" w:line="276" w:lineRule="auto"/>
        <w:jc w:val="center"/>
        <w:rPr>
          <w:rFonts w:ascii="Arial" w:hAnsi="Arial" w:cs="Arial"/>
          <w:kern w:val="0"/>
          <w:sz w:val="20"/>
          <w:szCs w:val="24"/>
          <w:lang w:eastAsia="es-MX"/>
          <w14:ligatures w14:val="none"/>
        </w:rPr>
      </w:pPr>
    </w:p>
    <w:p w14:paraId="677278DC" w14:textId="2D937AD9" w:rsidR="00706228" w:rsidRDefault="00706228" w:rsidP="00EC5ABF">
      <w:pPr>
        <w:spacing w:after="0" w:line="276" w:lineRule="auto"/>
        <w:jc w:val="center"/>
        <w:rPr>
          <w:rFonts w:ascii="Arial" w:hAnsi="Arial" w:cs="Arial"/>
          <w:kern w:val="0"/>
          <w:sz w:val="20"/>
          <w:szCs w:val="24"/>
          <w:lang w:eastAsia="es-MX"/>
          <w14:ligatures w14:val="none"/>
        </w:rPr>
      </w:pPr>
    </w:p>
    <w:p w14:paraId="295E1E66" w14:textId="77777777" w:rsidR="00DE6D6B" w:rsidRPr="00DE6D6B" w:rsidRDefault="00DE6D6B" w:rsidP="006B5A64">
      <w:pPr>
        <w:spacing w:before="100" w:beforeAutospacing="1" w:after="100" w:afterAutospacing="1" w:line="360" w:lineRule="auto"/>
        <w:ind w:left="-397"/>
        <w:jc w:val="both"/>
        <w:rPr>
          <w:rFonts w:ascii="Arial" w:eastAsia="Times New Roman" w:hAnsi="Arial" w:cs="Arial"/>
          <w:kern w:val="0"/>
          <w:sz w:val="24"/>
          <w:szCs w:val="24"/>
          <w:lang w:eastAsia="es-MX"/>
          <w14:ligatures w14:val="none"/>
        </w:rPr>
      </w:pPr>
      <w:r w:rsidRPr="00DE6D6B">
        <w:rPr>
          <w:rFonts w:ascii="Arial" w:eastAsia="Times New Roman" w:hAnsi="Arial" w:cs="Arial"/>
          <w:kern w:val="0"/>
          <w:sz w:val="24"/>
          <w:szCs w:val="24"/>
          <w:lang w:eastAsia="es-MX"/>
          <w14:ligatures w14:val="none"/>
        </w:rPr>
        <w:t>El primer trimestre de 2026 se presenta como un periodo de alta complejidad para México, determinado por una convergencia de factores externos que han puesto a prueba las instituciones y su capacidad de respuesta macroeconómica. A nivel geopolítico, la intervención militar de los Estados Unidos en Venezuela ha alterado drásticamente el equilibrio regional en América Latina, colocando a México en una posición diplomática y operativa sumamente delicada. Este suceso no solo ha reconfigurado los flujos migratorios en el hemisferio, sino que ha generado una volatilidad sin precedentes en el mercado energético regional, lo que impacta de forma indirecta en la planificación estratégica. El papel de México como socio comercial se ha visto tensionado por alinear las políticas de seguridad y comercio exterior con un entorno de conflicto activo, lo que ha introducido un riesgo jurisdiccional que condiciona la toma de decisiones de inversión a largo plazo.</w:t>
      </w:r>
    </w:p>
    <w:p w14:paraId="1AC0ED8C" w14:textId="77777777" w:rsidR="00DE6D6B" w:rsidRPr="00DE6D6B" w:rsidRDefault="00DE6D6B" w:rsidP="006B5A64">
      <w:pPr>
        <w:spacing w:before="100" w:beforeAutospacing="1" w:after="100" w:afterAutospacing="1" w:line="360" w:lineRule="auto"/>
        <w:ind w:left="-397"/>
        <w:jc w:val="both"/>
        <w:rPr>
          <w:rFonts w:ascii="Arial" w:eastAsia="Times New Roman" w:hAnsi="Arial" w:cs="Arial"/>
          <w:kern w:val="0"/>
          <w:sz w:val="24"/>
          <w:szCs w:val="24"/>
          <w:lang w:eastAsia="es-MX"/>
          <w14:ligatures w14:val="none"/>
        </w:rPr>
      </w:pPr>
      <w:r w:rsidRPr="00DE6D6B">
        <w:rPr>
          <w:rFonts w:ascii="Arial" w:eastAsia="Times New Roman" w:hAnsi="Arial" w:cs="Arial"/>
          <w:kern w:val="0"/>
          <w:sz w:val="24"/>
          <w:szCs w:val="24"/>
          <w:lang w:eastAsia="es-MX"/>
          <w14:ligatures w14:val="none"/>
        </w:rPr>
        <w:t xml:space="preserve">En el ámbito comercial y logístico, la crisis persistente en las rutas marítimas transoceánicas ha provocado un efecto de saturación en los puertos y aduanas nacionales, tanto en el litoral del Pacífico como en el Golfo. Este fenómeno, derivado del bloqueo de los corredores tradicionales en Oriente Medio, ha forzado a una reestructuración de las cadenas de valor, donde la promesa del nearshoring ha pasado de ser una proyección de crecimiento a una exigencia operativa inmediata. No obstante, la infraestructura nacional ha enfrentado desafíos para absorber esta demanda, debido a la intermitencia en el suministro eléctrico y las limitaciones en la conectividad logística interna. </w:t>
      </w:r>
    </w:p>
    <w:p w14:paraId="7665DA10" w14:textId="77777777" w:rsidR="00DE6D6B" w:rsidRPr="00DE6D6B" w:rsidRDefault="00DE6D6B" w:rsidP="006B5A64">
      <w:pPr>
        <w:spacing w:before="100" w:beforeAutospacing="1" w:after="100" w:afterAutospacing="1" w:line="360" w:lineRule="auto"/>
        <w:ind w:left="-397"/>
        <w:jc w:val="both"/>
        <w:rPr>
          <w:rFonts w:ascii="Arial" w:eastAsia="Times New Roman" w:hAnsi="Arial" w:cs="Arial"/>
          <w:kern w:val="0"/>
          <w:sz w:val="24"/>
          <w:szCs w:val="24"/>
          <w:lang w:eastAsia="es-MX"/>
          <w14:ligatures w14:val="none"/>
        </w:rPr>
      </w:pPr>
      <w:r w:rsidRPr="00DE6D6B">
        <w:rPr>
          <w:rFonts w:ascii="Arial" w:eastAsia="Times New Roman" w:hAnsi="Arial" w:cs="Arial"/>
          <w:kern w:val="0"/>
          <w:sz w:val="24"/>
          <w:szCs w:val="24"/>
          <w:lang w:eastAsia="es-MX"/>
          <w14:ligatures w14:val="none"/>
        </w:rPr>
        <w:t xml:space="preserve">El Producto Interno Bruto (PIB) correspondiente a los ejercicios 2024 y 2025 revela una trayectoria de crecimiento sostenido con fluctuaciones trimestrales que reflejan la volatilidad del entorno. Al cierre del cuarto trimestre de 2025 (2025 4T), la economía mexicana alcanzó su nivel máximo de producción de 26,108,456.70 millones de pesos en el periodo analizado, este resultado representa un incremento significativo respecto </w:t>
      </w:r>
      <w:r w:rsidRPr="00DE6D6B">
        <w:rPr>
          <w:rFonts w:ascii="Arial" w:eastAsia="Times New Roman" w:hAnsi="Arial" w:cs="Arial"/>
          <w:kern w:val="0"/>
          <w:sz w:val="24"/>
          <w:szCs w:val="24"/>
          <w:lang w:eastAsia="es-MX"/>
          <w14:ligatures w14:val="none"/>
        </w:rPr>
        <w:lastRenderedPageBreak/>
        <w:t>al inicio de 2024, cuando el PIB se ubicaba en 24,743,029.90 millones de pesos, lo que supone una expansión acumulada de aproximadamente el 5.5% en dos años. No obstante, el comportamiento no ha sido lineal; destaca una ligera contracción entre el segundo y tercer trimestre de 2025, donde el valor descendió de 25.6 billones a 25.4 billones de pesos, para posteriormente registrar una recuperación acelerada hacia el cierre del año.</w:t>
      </w:r>
    </w:p>
    <w:p w14:paraId="3C6B9F95" w14:textId="77777777" w:rsidR="00DE6D6B" w:rsidRPr="00DE6D6B" w:rsidRDefault="00DE6D6B" w:rsidP="006B5A64">
      <w:pPr>
        <w:spacing w:before="100" w:beforeAutospacing="1" w:after="100" w:afterAutospacing="1" w:line="360" w:lineRule="auto"/>
        <w:ind w:left="-397"/>
        <w:jc w:val="both"/>
        <w:rPr>
          <w:rFonts w:ascii="Arial" w:eastAsia="Times New Roman" w:hAnsi="Arial" w:cs="Arial"/>
          <w:kern w:val="0"/>
          <w:sz w:val="24"/>
          <w:szCs w:val="24"/>
          <w:lang w:eastAsia="es-MX"/>
          <w14:ligatures w14:val="none"/>
        </w:rPr>
      </w:pPr>
      <w:r w:rsidRPr="00DE6D6B">
        <w:rPr>
          <w:rFonts w:ascii="Arial" w:eastAsia="Times New Roman" w:hAnsi="Arial" w:cs="Arial"/>
          <w:kern w:val="0"/>
          <w:sz w:val="24"/>
          <w:szCs w:val="24"/>
          <w:lang w:eastAsia="es-MX"/>
          <w14:ligatures w14:val="none"/>
        </w:rPr>
        <w:t>Entre el tercer y cuarto trimestre de 2025 la variación al alza de 679,748.50 millones de pesos, demuestra dinamismo que sugiere un fortalecimiento de la actividad productiva y del consumo interno, estableciendo una base estadística sólida para el inicio del ejercicio 2026. Para fines de reporte institucional, estas cifras confirman que, a pesar de los desafíos estructurales y la incertidumbre geopolítica mencionada en el apartado previo, la economía mexicana logró finalizar con una tendencia de crecimiento real.</w:t>
      </w:r>
    </w:p>
    <w:p w14:paraId="22A039E3" w14:textId="140ADD20" w:rsidR="00706228" w:rsidRDefault="00706228" w:rsidP="00484865">
      <w:pPr>
        <w:spacing w:after="0" w:line="276" w:lineRule="auto"/>
        <w:ind w:left="-397"/>
        <w:jc w:val="center"/>
        <w:rPr>
          <w:rFonts w:ascii="Arial" w:hAnsi="Arial" w:cs="Arial"/>
          <w:kern w:val="0"/>
          <w:sz w:val="20"/>
          <w:szCs w:val="24"/>
          <w:lang w:eastAsia="es-MX"/>
          <w14:ligatures w14:val="none"/>
        </w:rPr>
      </w:pPr>
    </w:p>
    <w:p w14:paraId="4B6474EA" w14:textId="2B6099CE" w:rsidR="00DE6D6B" w:rsidRPr="00DE6D6B" w:rsidRDefault="00DE23FE" w:rsidP="00DE6D6B">
      <w:pPr>
        <w:spacing w:after="0" w:line="276" w:lineRule="auto"/>
        <w:jc w:val="center"/>
        <w:rPr>
          <w:rFonts w:ascii="Arial" w:hAnsi="Arial" w:cs="Arial"/>
          <w:kern w:val="0"/>
          <w:sz w:val="20"/>
          <w:szCs w:val="24"/>
          <w:lang w:eastAsia="es-MX"/>
          <w14:ligatures w14:val="none"/>
        </w:rPr>
      </w:pPr>
      <w:r>
        <w:rPr>
          <w:rFonts w:ascii="Arial" w:eastAsia="Aptos" w:hAnsi="Arial" w:cs="Arial"/>
          <w:sz w:val="24"/>
          <w:szCs w:val="24"/>
        </w:rPr>
        <w:t xml:space="preserve">             </w:t>
      </w:r>
      <w:r w:rsidR="00DE6D6B" w:rsidRPr="00DE6D6B">
        <w:rPr>
          <w:rFonts w:ascii="Arial" w:hAnsi="Arial" w:cs="Arial"/>
          <w:kern w:val="0"/>
          <w:sz w:val="20"/>
          <w:szCs w:val="24"/>
          <w:lang w:eastAsia="es-MX"/>
          <w14:ligatures w14:val="none"/>
        </w:rPr>
        <w:t>Gráfico 2. México: Producto Interno Bruto trimestral, 2024 - 2025</w:t>
      </w:r>
    </w:p>
    <w:p w14:paraId="67E61703" w14:textId="77777777" w:rsidR="00DE6D6B" w:rsidRPr="00DE6D6B" w:rsidRDefault="00DE6D6B" w:rsidP="00DE6D6B">
      <w:pPr>
        <w:spacing w:after="0" w:line="276" w:lineRule="auto"/>
        <w:jc w:val="center"/>
        <w:rPr>
          <w:rFonts w:ascii="Arial" w:hAnsi="Arial" w:cs="Arial"/>
          <w:kern w:val="0"/>
          <w:sz w:val="20"/>
          <w:szCs w:val="24"/>
          <w:lang w:eastAsia="es-MX"/>
          <w14:ligatures w14:val="none"/>
        </w:rPr>
      </w:pPr>
      <w:r w:rsidRPr="00DE6D6B">
        <w:rPr>
          <w:rFonts w:ascii="Arial" w:hAnsi="Arial" w:cs="Arial"/>
          <w:kern w:val="0"/>
          <w:sz w:val="20"/>
          <w:szCs w:val="24"/>
          <w:lang w:eastAsia="es-MX"/>
          <w14:ligatures w14:val="none"/>
        </w:rPr>
        <w:t>(millones de pesos a precios del 2018)</w:t>
      </w:r>
    </w:p>
    <w:p w14:paraId="508F8ADA" w14:textId="70EFF177" w:rsidR="00EE5A3F" w:rsidRDefault="00EE5A3F" w:rsidP="00EC5ABF">
      <w:pPr>
        <w:spacing w:after="0" w:line="276" w:lineRule="auto"/>
        <w:jc w:val="center"/>
        <w:rPr>
          <w:rFonts w:ascii="Arial" w:hAnsi="Arial" w:cs="Arial"/>
          <w:kern w:val="0"/>
          <w:sz w:val="20"/>
          <w:szCs w:val="24"/>
          <w:lang w:eastAsia="es-MX"/>
          <w14:ligatures w14:val="none"/>
        </w:rPr>
      </w:pPr>
    </w:p>
    <w:p w14:paraId="400F43A3" w14:textId="2CC88CB3" w:rsidR="00DE6D6B" w:rsidRDefault="00DE6D6B" w:rsidP="00EC5ABF">
      <w:pPr>
        <w:spacing w:after="0" w:line="276" w:lineRule="auto"/>
        <w:jc w:val="center"/>
        <w:rPr>
          <w:rFonts w:ascii="Arial" w:hAnsi="Arial" w:cs="Arial"/>
          <w:kern w:val="0"/>
          <w:sz w:val="20"/>
          <w:szCs w:val="24"/>
          <w:lang w:eastAsia="es-MX"/>
          <w14:ligatures w14:val="none"/>
        </w:rPr>
      </w:pPr>
      <w:r w:rsidRPr="000E0D87">
        <w:rPr>
          <w:rFonts w:ascii="Arial" w:hAnsi="Arial" w:cs="Arial"/>
          <w:noProof/>
        </w:rPr>
        <w:drawing>
          <wp:inline distT="0" distB="0" distL="0" distR="0" wp14:anchorId="24CA6CD8" wp14:editId="04BE6EB1">
            <wp:extent cx="5400000" cy="1800000"/>
            <wp:effectExtent l="0" t="0" r="10795" b="10160"/>
            <wp:docPr id="1632215809" name="Gráfico 1">
              <a:extLst xmlns:a="http://schemas.openxmlformats.org/drawingml/2006/main">
                <a:ext uri="{FF2B5EF4-FFF2-40B4-BE49-F238E27FC236}">
                  <a16:creationId xmlns:a16="http://schemas.microsoft.com/office/drawing/2014/main" id="{1364DC97-443E-CF2F-6C84-39CADD87D78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AF6D096" w14:textId="77777777" w:rsidR="00DE6D6B" w:rsidRPr="00DE6D6B" w:rsidRDefault="00DE6D6B" w:rsidP="00DE6D6B">
      <w:pPr>
        <w:spacing w:after="240" w:line="276" w:lineRule="auto"/>
        <w:jc w:val="center"/>
        <w:rPr>
          <w:rFonts w:ascii="Arial" w:eastAsia="Times New Roman" w:hAnsi="Arial" w:cs="Arial"/>
          <w:kern w:val="0"/>
          <w:sz w:val="24"/>
          <w:szCs w:val="24"/>
          <w:lang w:eastAsia="es-MX"/>
          <w14:ligatures w14:val="none"/>
        </w:rPr>
      </w:pPr>
      <w:r w:rsidRPr="00DE6D6B">
        <w:rPr>
          <w:rFonts w:ascii="Arial" w:hAnsi="Arial" w:cs="Arial"/>
          <w:kern w:val="0"/>
          <w:sz w:val="20"/>
          <w:szCs w:val="24"/>
          <w:lang w:eastAsia="es-MX"/>
          <w14:ligatures w14:val="none"/>
        </w:rPr>
        <w:t>Fuente: Elaborado con información de la información del Banco de Información Económica (BIE) de INEGI, (INEGI, 2026).</w:t>
      </w:r>
    </w:p>
    <w:p w14:paraId="0E59C7F8" w14:textId="25591C6F" w:rsidR="00DE6D6B" w:rsidRDefault="00DE6D6B" w:rsidP="00EC5ABF">
      <w:pPr>
        <w:spacing w:after="0" w:line="276" w:lineRule="auto"/>
        <w:jc w:val="center"/>
        <w:rPr>
          <w:rFonts w:ascii="Arial" w:hAnsi="Arial" w:cs="Arial"/>
          <w:kern w:val="0"/>
          <w:sz w:val="20"/>
          <w:szCs w:val="24"/>
          <w:lang w:eastAsia="es-MX"/>
          <w14:ligatures w14:val="none"/>
        </w:rPr>
      </w:pPr>
    </w:p>
    <w:p w14:paraId="66A48FA9" w14:textId="52282F38" w:rsidR="00DE6D6B" w:rsidRDefault="00DE6D6B" w:rsidP="00EC5ABF">
      <w:pPr>
        <w:spacing w:after="0" w:line="276" w:lineRule="auto"/>
        <w:jc w:val="center"/>
        <w:rPr>
          <w:rFonts w:ascii="Arial" w:hAnsi="Arial" w:cs="Arial"/>
          <w:kern w:val="0"/>
          <w:sz w:val="20"/>
          <w:szCs w:val="24"/>
          <w:lang w:eastAsia="es-MX"/>
          <w14:ligatures w14:val="none"/>
        </w:rPr>
      </w:pPr>
    </w:p>
    <w:p w14:paraId="6AA8559A" w14:textId="56E8E21D" w:rsidR="00DE6D6B" w:rsidRDefault="00DE6D6B" w:rsidP="00EC5ABF">
      <w:pPr>
        <w:spacing w:after="0" w:line="276" w:lineRule="auto"/>
        <w:jc w:val="center"/>
        <w:rPr>
          <w:rFonts w:ascii="Arial" w:hAnsi="Arial" w:cs="Arial"/>
          <w:kern w:val="0"/>
          <w:sz w:val="20"/>
          <w:szCs w:val="24"/>
          <w:lang w:eastAsia="es-MX"/>
          <w14:ligatures w14:val="none"/>
        </w:rPr>
      </w:pPr>
    </w:p>
    <w:p w14:paraId="3F376553" w14:textId="4B37057B" w:rsidR="00DE6D6B" w:rsidRDefault="00DE6D6B" w:rsidP="00EC5ABF">
      <w:pPr>
        <w:spacing w:after="0" w:line="276" w:lineRule="auto"/>
        <w:jc w:val="center"/>
        <w:rPr>
          <w:rFonts w:ascii="Arial" w:hAnsi="Arial" w:cs="Arial"/>
          <w:kern w:val="0"/>
          <w:sz w:val="20"/>
          <w:szCs w:val="24"/>
          <w:lang w:eastAsia="es-MX"/>
          <w14:ligatures w14:val="none"/>
        </w:rPr>
      </w:pPr>
    </w:p>
    <w:p w14:paraId="18DA21D8" w14:textId="03510D00" w:rsidR="00DE6D6B" w:rsidRDefault="00DE6D6B" w:rsidP="00EC5ABF">
      <w:pPr>
        <w:spacing w:after="0" w:line="276" w:lineRule="auto"/>
        <w:jc w:val="center"/>
        <w:rPr>
          <w:rFonts w:ascii="Arial" w:hAnsi="Arial" w:cs="Arial"/>
          <w:kern w:val="0"/>
          <w:sz w:val="20"/>
          <w:szCs w:val="24"/>
          <w:lang w:eastAsia="es-MX"/>
          <w14:ligatures w14:val="none"/>
        </w:rPr>
      </w:pPr>
    </w:p>
    <w:p w14:paraId="576C6EF3" w14:textId="75E931B9" w:rsidR="00DE6D6B" w:rsidRDefault="00DE6D6B" w:rsidP="00EC5ABF">
      <w:pPr>
        <w:spacing w:after="0" w:line="276" w:lineRule="auto"/>
        <w:jc w:val="center"/>
        <w:rPr>
          <w:rFonts w:ascii="Arial" w:hAnsi="Arial" w:cs="Arial"/>
          <w:kern w:val="0"/>
          <w:sz w:val="20"/>
          <w:szCs w:val="24"/>
          <w:lang w:eastAsia="es-MX"/>
          <w14:ligatures w14:val="none"/>
        </w:rPr>
      </w:pPr>
    </w:p>
    <w:p w14:paraId="0E258810" w14:textId="50E1790C" w:rsidR="00DE6D6B" w:rsidRDefault="00DE6D6B" w:rsidP="00EC5ABF">
      <w:pPr>
        <w:spacing w:after="0" w:line="276" w:lineRule="auto"/>
        <w:jc w:val="center"/>
        <w:rPr>
          <w:rFonts w:ascii="Arial" w:hAnsi="Arial" w:cs="Arial"/>
          <w:kern w:val="0"/>
          <w:sz w:val="20"/>
          <w:szCs w:val="24"/>
          <w:lang w:eastAsia="es-MX"/>
          <w14:ligatures w14:val="none"/>
        </w:rPr>
      </w:pPr>
    </w:p>
    <w:p w14:paraId="74ED93C7" w14:textId="594B3200" w:rsidR="00DE6D6B" w:rsidRDefault="00DE6D6B" w:rsidP="00EC5ABF">
      <w:pPr>
        <w:spacing w:after="0" w:line="276" w:lineRule="auto"/>
        <w:jc w:val="center"/>
        <w:rPr>
          <w:rFonts w:ascii="Arial" w:hAnsi="Arial" w:cs="Arial"/>
          <w:kern w:val="0"/>
          <w:sz w:val="20"/>
          <w:szCs w:val="24"/>
          <w:lang w:eastAsia="es-MX"/>
          <w14:ligatures w14:val="none"/>
        </w:rPr>
      </w:pPr>
    </w:p>
    <w:p w14:paraId="34CA1BD1" w14:textId="4899F765" w:rsidR="00DE6D6B" w:rsidRDefault="00DE6D6B" w:rsidP="00EC5ABF">
      <w:pPr>
        <w:spacing w:after="0" w:line="276" w:lineRule="auto"/>
        <w:jc w:val="center"/>
        <w:rPr>
          <w:rFonts w:ascii="Arial" w:hAnsi="Arial" w:cs="Arial"/>
          <w:kern w:val="0"/>
          <w:sz w:val="20"/>
          <w:szCs w:val="24"/>
          <w:lang w:eastAsia="es-MX"/>
          <w14:ligatures w14:val="none"/>
        </w:rPr>
      </w:pPr>
    </w:p>
    <w:p w14:paraId="55B4A8B2" w14:textId="0EB887B0" w:rsidR="00DE6D6B" w:rsidRDefault="00DE6D6B" w:rsidP="00EC5ABF">
      <w:pPr>
        <w:spacing w:after="0" w:line="276" w:lineRule="auto"/>
        <w:jc w:val="center"/>
        <w:rPr>
          <w:rFonts w:ascii="Arial" w:hAnsi="Arial" w:cs="Arial"/>
          <w:kern w:val="0"/>
          <w:sz w:val="20"/>
          <w:szCs w:val="24"/>
          <w:lang w:eastAsia="es-MX"/>
          <w14:ligatures w14:val="none"/>
        </w:rPr>
      </w:pPr>
    </w:p>
    <w:p w14:paraId="583A284D" w14:textId="4A29091C" w:rsidR="00DE6D6B" w:rsidRDefault="00DE6D6B" w:rsidP="00EC5ABF">
      <w:pPr>
        <w:spacing w:after="0" w:line="276" w:lineRule="auto"/>
        <w:jc w:val="center"/>
        <w:rPr>
          <w:rFonts w:ascii="Arial" w:hAnsi="Arial" w:cs="Arial"/>
          <w:kern w:val="0"/>
          <w:sz w:val="20"/>
          <w:szCs w:val="24"/>
          <w:lang w:eastAsia="es-MX"/>
          <w14:ligatures w14:val="none"/>
        </w:rPr>
      </w:pPr>
    </w:p>
    <w:p w14:paraId="7962982E" w14:textId="77777777" w:rsidR="00532432" w:rsidRPr="00532432" w:rsidRDefault="00532432" w:rsidP="006B5A64">
      <w:pPr>
        <w:spacing w:before="100" w:beforeAutospacing="1" w:after="100" w:afterAutospacing="1" w:line="360" w:lineRule="auto"/>
        <w:ind w:left="-397"/>
        <w:jc w:val="both"/>
        <w:rPr>
          <w:rFonts w:ascii="Arial" w:eastAsia="Times New Roman" w:hAnsi="Arial" w:cs="Arial"/>
          <w:kern w:val="0"/>
          <w:sz w:val="24"/>
          <w:szCs w:val="24"/>
          <w:lang w:eastAsia="es-MX"/>
          <w14:ligatures w14:val="none"/>
        </w:rPr>
      </w:pPr>
      <w:r w:rsidRPr="00532432">
        <w:rPr>
          <w:rFonts w:ascii="Arial" w:eastAsia="Times New Roman" w:hAnsi="Arial" w:cs="Arial"/>
          <w:kern w:val="0"/>
          <w:sz w:val="24"/>
          <w:szCs w:val="24"/>
          <w:lang w:eastAsia="es-MX"/>
          <w14:ligatures w14:val="none"/>
        </w:rPr>
        <w:t>El desempeño de la economía nacional, medido a través de la variación porcentual anual de sus componentes, refleja un proceso de ajuste tras los niveles de expansión registrados a inicios de 2023. Las actividades primarias han sido el componente de mayor fluctuación dentro de la estructura económica. Tras una contracción anual del -4% al cierre de 2023 y mantener un desempeño errático durante 2024, el sector primario registró una recuperación en el cuarto trimestre de 2025, alcanzando una variación positiva del 7.8%. Este incremento representa el punto máximo de crecimiento sectorial en los años analizados, lo que indica una reactivación del sector agropecuario y extractivo, posiblemente impulsada por una normalización de los ciclos productivos y un fortalecimiento de los precios en el mercado de exportación.</w:t>
      </w:r>
    </w:p>
    <w:p w14:paraId="234F49AC" w14:textId="33C9FE70" w:rsidR="00DE6D6B" w:rsidRDefault="00DE6D6B" w:rsidP="00EC5ABF">
      <w:pPr>
        <w:spacing w:after="0" w:line="276" w:lineRule="auto"/>
        <w:jc w:val="center"/>
        <w:rPr>
          <w:rFonts w:ascii="Arial" w:hAnsi="Arial" w:cs="Arial"/>
          <w:kern w:val="0"/>
          <w:sz w:val="20"/>
          <w:szCs w:val="24"/>
          <w:lang w:eastAsia="es-MX"/>
          <w14:ligatures w14:val="none"/>
        </w:rPr>
      </w:pPr>
    </w:p>
    <w:p w14:paraId="698F8844" w14:textId="77777777" w:rsidR="00532432" w:rsidRPr="00532432" w:rsidRDefault="00532432" w:rsidP="006B5A64">
      <w:pPr>
        <w:spacing w:before="100" w:beforeAutospacing="1" w:after="100" w:afterAutospacing="1" w:line="360" w:lineRule="auto"/>
        <w:ind w:left="-397"/>
        <w:jc w:val="both"/>
        <w:rPr>
          <w:rFonts w:ascii="Arial" w:eastAsia="Times New Roman" w:hAnsi="Arial" w:cs="Arial"/>
          <w:kern w:val="0"/>
          <w:sz w:val="24"/>
          <w:szCs w:val="24"/>
          <w:lang w:eastAsia="es-MX"/>
          <w14:ligatures w14:val="none"/>
        </w:rPr>
      </w:pPr>
      <w:r w:rsidRPr="00532432">
        <w:rPr>
          <w:rFonts w:ascii="Arial" w:eastAsia="Times New Roman" w:hAnsi="Arial" w:cs="Arial"/>
          <w:kern w:val="0"/>
          <w:sz w:val="24"/>
          <w:szCs w:val="24"/>
          <w:lang w:eastAsia="es-MX"/>
          <w14:ligatures w14:val="none"/>
        </w:rPr>
        <w:t>En contraste, las actividades secundarias presentan el panorama más crítico en términos de crecimiento anual. El sector industrial entró en una fase de estancamiento y contracción desde mediados de 2024, registrando variaciones negativas de -2.4% y -2.6% en trimestres consecutivos. Esta tendencia a la baja en la producción industrial es reflejo de las interrupciones en las cadenas de suministro y el encarecimiento de los insumos operativos mencionados en el contexto global de 2026. Al cierre de 2025, el sector apenas logró revertir la tendencia contractiva con una variación del 0.3%, lo que evidencia que la industria nacional aún se encuentra en una etapa de recuperación incipiente y vulnerable frente a choques externos.</w:t>
      </w:r>
    </w:p>
    <w:p w14:paraId="426B7C5C" w14:textId="77777777" w:rsidR="00532432" w:rsidRPr="00532432" w:rsidRDefault="00532432" w:rsidP="006B5A64">
      <w:pPr>
        <w:spacing w:before="100" w:beforeAutospacing="1" w:after="100" w:afterAutospacing="1" w:line="360" w:lineRule="auto"/>
        <w:ind w:left="-397"/>
        <w:jc w:val="both"/>
        <w:rPr>
          <w:rFonts w:ascii="Arial" w:eastAsia="Times New Roman" w:hAnsi="Arial" w:cs="Arial"/>
          <w:kern w:val="0"/>
          <w:sz w:val="24"/>
          <w:szCs w:val="24"/>
          <w:lang w:eastAsia="es-MX"/>
          <w14:ligatures w14:val="none"/>
        </w:rPr>
      </w:pPr>
      <w:r w:rsidRPr="00532432">
        <w:rPr>
          <w:rFonts w:ascii="Arial" w:eastAsia="Times New Roman" w:hAnsi="Arial" w:cs="Arial"/>
          <w:kern w:val="0"/>
          <w:sz w:val="24"/>
          <w:szCs w:val="24"/>
          <w:lang w:eastAsia="es-MX"/>
          <w14:ligatures w14:val="none"/>
        </w:rPr>
        <w:t>Por su parte, el sector servicios mantuvo variaciones positivas constantes a lo largo de todo el periodo. El incremento anual del 2.1% registrado en el último trimestre de 2025 muestra que el consumo interno y el sector comercio han logrado compensar la debilidad del sector secundario. Por lo que, la variación porcentual anual del PIB al cierre de 2025 demuestra que la resiliencia económica de México está en el dinamismo de los servicios y el repunte de las actividades primarias, mientras que la recuperación industrial permanece como el principal desafío para el ejercicio 2026.</w:t>
      </w:r>
    </w:p>
    <w:p w14:paraId="6732D5F1" w14:textId="244674CA" w:rsidR="00DE6D6B" w:rsidRDefault="00DE6D6B" w:rsidP="00EC5ABF">
      <w:pPr>
        <w:spacing w:after="0" w:line="276" w:lineRule="auto"/>
        <w:jc w:val="center"/>
        <w:rPr>
          <w:rFonts w:ascii="Arial" w:hAnsi="Arial" w:cs="Arial"/>
          <w:kern w:val="0"/>
          <w:sz w:val="20"/>
          <w:szCs w:val="24"/>
          <w:lang w:eastAsia="es-MX"/>
          <w14:ligatures w14:val="none"/>
        </w:rPr>
      </w:pPr>
    </w:p>
    <w:p w14:paraId="342A65AE" w14:textId="598B944F" w:rsidR="00DE6D6B" w:rsidRDefault="00DE6D6B" w:rsidP="00EC5ABF">
      <w:pPr>
        <w:spacing w:after="0" w:line="276" w:lineRule="auto"/>
        <w:jc w:val="center"/>
        <w:rPr>
          <w:rFonts w:ascii="Arial" w:hAnsi="Arial" w:cs="Arial"/>
          <w:kern w:val="0"/>
          <w:sz w:val="20"/>
          <w:szCs w:val="24"/>
          <w:lang w:eastAsia="es-MX"/>
          <w14:ligatures w14:val="none"/>
        </w:rPr>
      </w:pPr>
    </w:p>
    <w:p w14:paraId="1AFC04FD" w14:textId="77777777" w:rsidR="00532432" w:rsidRPr="00532432" w:rsidRDefault="00532432" w:rsidP="00532432">
      <w:pPr>
        <w:spacing w:after="0" w:line="276" w:lineRule="auto"/>
        <w:jc w:val="center"/>
        <w:rPr>
          <w:rFonts w:ascii="Arial" w:hAnsi="Arial" w:cs="Arial"/>
          <w:kern w:val="0"/>
          <w:sz w:val="20"/>
          <w:szCs w:val="24"/>
          <w:lang w:eastAsia="es-MX"/>
          <w14:ligatures w14:val="none"/>
        </w:rPr>
      </w:pPr>
      <w:r w:rsidRPr="00532432">
        <w:rPr>
          <w:rFonts w:ascii="Arial" w:hAnsi="Arial" w:cs="Arial"/>
          <w:kern w:val="0"/>
          <w:sz w:val="20"/>
          <w:szCs w:val="24"/>
          <w:lang w:eastAsia="es-MX"/>
          <w14:ligatures w14:val="none"/>
        </w:rPr>
        <w:t>Gráfico 3. México: Producto Interno Bruto y actividades económicas, trimestral 2023 - 2025</w:t>
      </w:r>
    </w:p>
    <w:p w14:paraId="51582398" w14:textId="77777777" w:rsidR="00532432" w:rsidRPr="00532432" w:rsidRDefault="00532432" w:rsidP="00532432">
      <w:pPr>
        <w:spacing w:after="0" w:line="276" w:lineRule="auto"/>
        <w:jc w:val="center"/>
        <w:rPr>
          <w:rFonts w:ascii="Arial" w:hAnsi="Arial" w:cs="Arial"/>
          <w:kern w:val="0"/>
          <w:sz w:val="20"/>
          <w:szCs w:val="24"/>
          <w:lang w:eastAsia="es-MX"/>
          <w14:ligatures w14:val="none"/>
        </w:rPr>
      </w:pPr>
      <w:r w:rsidRPr="00532432">
        <w:rPr>
          <w:rFonts w:ascii="Arial" w:hAnsi="Arial" w:cs="Arial"/>
          <w:kern w:val="0"/>
          <w:sz w:val="20"/>
          <w:szCs w:val="24"/>
          <w:lang w:eastAsia="es-MX"/>
          <w14:ligatures w14:val="none"/>
        </w:rPr>
        <w:t>(porcentual)</w:t>
      </w:r>
    </w:p>
    <w:p w14:paraId="5D57BF7E" w14:textId="0A5A3458" w:rsidR="00DE6D6B" w:rsidRDefault="00DE6D6B" w:rsidP="00EC5ABF">
      <w:pPr>
        <w:spacing w:after="0" w:line="276" w:lineRule="auto"/>
        <w:jc w:val="center"/>
        <w:rPr>
          <w:rFonts w:ascii="Arial" w:hAnsi="Arial" w:cs="Arial"/>
          <w:kern w:val="0"/>
          <w:sz w:val="20"/>
          <w:szCs w:val="24"/>
          <w:lang w:eastAsia="es-MX"/>
          <w14:ligatures w14:val="none"/>
        </w:rPr>
      </w:pPr>
    </w:p>
    <w:p w14:paraId="4196D934" w14:textId="1CBF92A4" w:rsidR="00DE6D6B" w:rsidRDefault="00532432" w:rsidP="00EC5ABF">
      <w:pPr>
        <w:spacing w:after="0" w:line="276" w:lineRule="auto"/>
        <w:jc w:val="center"/>
        <w:rPr>
          <w:rFonts w:ascii="Arial" w:hAnsi="Arial" w:cs="Arial"/>
          <w:kern w:val="0"/>
          <w:sz w:val="20"/>
          <w:szCs w:val="24"/>
          <w:lang w:eastAsia="es-MX"/>
          <w14:ligatures w14:val="none"/>
        </w:rPr>
      </w:pPr>
      <w:r w:rsidRPr="000E0D87">
        <w:rPr>
          <w:rFonts w:ascii="Arial" w:hAnsi="Arial" w:cs="Arial"/>
          <w:noProof/>
        </w:rPr>
        <w:drawing>
          <wp:inline distT="0" distB="0" distL="0" distR="0" wp14:anchorId="7C69522D" wp14:editId="6F828151">
            <wp:extent cx="5400000" cy="2160000"/>
            <wp:effectExtent l="0" t="0" r="10795" b="12065"/>
            <wp:docPr id="1734751359" name="Gráfico 1">
              <a:extLst xmlns:a="http://schemas.openxmlformats.org/drawingml/2006/main">
                <a:ext uri="{FF2B5EF4-FFF2-40B4-BE49-F238E27FC236}">
                  <a16:creationId xmlns:a16="http://schemas.microsoft.com/office/drawing/2014/main" id="{AE73B7EF-CFE2-8D32-E35B-FCEBD9EBC6B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45B45778" w14:textId="328C70E2" w:rsidR="00DE6D6B" w:rsidRDefault="00DE6D6B" w:rsidP="00EC5ABF">
      <w:pPr>
        <w:spacing w:after="0" w:line="276" w:lineRule="auto"/>
        <w:jc w:val="center"/>
        <w:rPr>
          <w:rFonts w:ascii="Arial" w:hAnsi="Arial" w:cs="Arial"/>
          <w:kern w:val="0"/>
          <w:sz w:val="20"/>
          <w:szCs w:val="24"/>
          <w:lang w:eastAsia="es-MX"/>
          <w14:ligatures w14:val="none"/>
        </w:rPr>
      </w:pPr>
    </w:p>
    <w:p w14:paraId="24D7984F" w14:textId="77777777" w:rsidR="00532432" w:rsidRPr="00532432" w:rsidRDefault="00532432" w:rsidP="00532432">
      <w:pPr>
        <w:spacing w:after="240" w:line="276" w:lineRule="auto"/>
        <w:jc w:val="center"/>
        <w:rPr>
          <w:rFonts w:ascii="Arial" w:eastAsia="Times New Roman" w:hAnsi="Arial" w:cs="Arial"/>
          <w:kern w:val="0"/>
          <w:sz w:val="24"/>
          <w:szCs w:val="24"/>
          <w:lang w:eastAsia="es-MX"/>
          <w14:ligatures w14:val="none"/>
        </w:rPr>
      </w:pPr>
      <w:r w:rsidRPr="00532432">
        <w:rPr>
          <w:rFonts w:ascii="Arial" w:hAnsi="Arial" w:cs="Arial"/>
          <w:kern w:val="0"/>
          <w:sz w:val="20"/>
          <w:szCs w:val="24"/>
          <w:lang w:eastAsia="es-MX"/>
          <w14:ligatures w14:val="none"/>
        </w:rPr>
        <w:t>Fuente: Elaborado con información de la información del Banco de Información Económica (BIE) de INEGI, (INEGI, 2026).</w:t>
      </w:r>
    </w:p>
    <w:p w14:paraId="50D36338" w14:textId="439D079D" w:rsidR="00DE6D6B" w:rsidRDefault="00DE6D6B" w:rsidP="00EC5ABF">
      <w:pPr>
        <w:spacing w:after="0" w:line="276" w:lineRule="auto"/>
        <w:jc w:val="center"/>
        <w:rPr>
          <w:rFonts w:ascii="Arial" w:hAnsi="Arial" w:cs="Arial"/>
          <w:kern w:val="0"/>
          <w:sz w:val="20"/>
          <w:szCs w:val="24"/>
          <w:lang w:eastAsia="es-MX"/>
          <w14:ligatures w14:val="none"/>
        </w:rPr>
      </w:pPr>
    </w:p>
    <w:p w14:paraId="7A39E188" w14:textId="198E13E5" w:rsidR="00532432" w:rsidRDefault="00532432" w:rsidP="00EC5ABF">
      <w:pPr>
        <w:spacing w:after="0" w:line="276" w:lineRule="auto"/>
        <w:jc w:val="center"/>
        <w:rPr>
          <w:rFonts w:ascii="Arial" w:hAnsi="Arial" w:cs="Arial"/>
          <w:kern w:val="0"/>
          <w:sz w:val="20"/>
          <w:szCs w:val="24"/>
          <w:lang w:eastAsia="es-MX"/>
          <w14:ligatures w14:val="none"/>
        </w:rPr>
      </w:pPr>
    </w:p>
    <w:p w14:paraId="1C129AFF" w14:textId="77777777" w:rsidR="00532432" w:rsidRPr="00532432" w:rsidRDefault="00532432" w:rsidP="005F5553">
      <w:pPr>
        <w:spacing w:before="100" w:beforeAutospacing="1" w:after="100" w:afterAutospacing="1" w:line="360" w:lineRule="auto"/>
        <w:ind w:left="-397"/>
        <w:jc w:val="both"/>
        <w:rPr>
          <w:rFonts w:ascii="Arial" w:eastAsia="Times New Roman" w:hAnsi="Arial" w:cs="Arial"/>
          <w:kern w:val="0"/>
          <w:sz w:val="24"/>
          <w:szCs w:val="24"/>
          <w:lang w:eastAsia="es-MX"/>
          <w14:ligatures w14:val="none"/>
        </w:rPr>
      </w:pPr>
      <w:r w:rsidRPr="00532432">
        <w:rPr>
          <w:rFonts w:ascii="Arial" w:eastAsia="Times New Roman" w:hAnsi="Arial" w:cs="Arial"/>
          <w:kern w:val="0"/>
          <w:sz w:val="24"/>
          <w:szCs w:val="24"/>
          <w:lang w:eastAsia="es-MX"/>
          <w14:ligatures w14:val="none"/>
        </w:rPr>
        <w:t>En conclusión, la economía inicia el ejercicio 2026 con una estructura de crecimiento asimétrica, donde la resiliencia del Producto Interno Bruto (con un repunte final del 1.8% en 2025) depende críticamente de la estabilidad del sector terciario y de recuperaciones coyunturales en las actividades primarias. Sin embargo, la debilidad en el sector secundario, evidenciada por tasas de crecimiento anual marginales y contracciones previas, confirma que la industria nacional aún enfrenta barreras estructurales derivadas de los altos costos operativos e incertidumbre en las cadenas de valor internacionales. Por lo tanto, la estabilidad de las proyecciones para el resto del año estará supeditada a la capacidad del sector industrial para retomar una trayectoria positiva y a la consolidación de un marco institucional que reduzca la desconfianza del capital, permitiendo así que el dinamismo observado al cierre de 2025 se traduzca en una solvencia operativa sostenible frente a los desafíos del presente trimestre.</w:t>
      </w:r>
    </w:p>
    <w:p w14:paraId="18C92148" w14:textId="770E93E1" w:rsidR="00DE6D6B" w:rsidRDefault="00DE6D6B" w:rsidP="005F5553">
      <w:pPr>
        <w:spacing w:after="0" w:line="360" w:lineRule="auto"/>
        <w:ind w:left="-397"/>
        <w:jc w:val="center"/>
        <w:rPr>
          <w:rFonts w:ascii="Arial" w:hAnsi="Arial" w:cs="Arial"/>
          <w:kern w:val="0"/>
          <w:sz w:val="20"/>
          <w:szCs w:val="24"/>
          <w:lang w:eastAsia="es-MX"/>
          <w14:ligatures w14:val="none"/>
        </w:rPr>
      </w:pPr>
    </w:p>
    <w:p w14:paraId="054C1EF2" w14:textId="544BD54C" w:rsidR="00DE6D6B" w:rsidRDefault="00DE6D6B" w:rsidP="005F5553">
      <w:pPr>
        <w:spacing w:after="0" w:line="360" w:lineRule="auto"/>
        <w:ind w:left="-397"/>
        <w:jc w:val="center"/>
        <w:rPr>
          <w:rFonts w:ascii="Arial" w:hAnsi="Arial" w:cs="Arial"/>
          <w:kern w:val="0"/>
          <w:sz w:val="20"/>
          <w:szCs w:val="24"/>
          <w:lang w:eastAsia="es-MX"/>
          <w14:ligatures w14:val="none"/>
        </w:rPr>
      </w:pPr>
    </w:p>
    <w:p w14:paraId="0BA36733" w14:textId="16BACEFF" w:rsidR="00DE6D6B" w:rsidRDefault="00DE6D6B" w:rsidP="00EC5ABF">
      <w:pPr>
        <w:spacing w:after="0" w:line="276" w:lineRule="auto"/>
        <w:jc w:val="center"/>
        <w:rPr>
          <w:rFonts w:ascii="Arial" w:hAnsi="Arial" w:cs="Arial"/>
          <w:kern w:val="0"/>
          <w:sz w:val="20"/>
          <w:szCs w:val="24"/>
          <w:lang w:eastAsia="es-MX"/>
          <w14:ligatures w14:val="none"/>
        </w:rPr>
      </w:pPr>
    </w:p>
    <w:p w14:paraId="64A09EC2" w14:textId="7ADE8A9F" w:rsidR="00D417C2" w:rsidRDefault="00C91CF0" w:rsidP="00484865">
      <w:pPr>
        <w:spacing w:after="120" w:line="360" w:lineRule="auto"/>
        <w:ind w:left="-397"/>
        <w:rPr>
          <w:rFonts w:ascii="Arial" w:hAnsi="Arial" w:cs="Arial"/>
          <w:b/>
          <w:bCs/>
          <w:sz w:val="24"/>
          <w:szCs w:val="24"/>
        </w:rPr>
      </w:pPr>
      <w:r>
        <w:rPr>
          <w:rFonts w:ascii="Arial" w:hAnsi="Arial" w:cs="Arial"/>
          <w:b/>
          <w:bCs/>
          <w:sz w:val="24"/>
          <w:szCs w:val="24"/>
        </w:rPr>
        <w:t>Panorama Económico en el ámbito</w:t>
      </w:r>
      <w:r w:rsidR="008E1825">
        <w:rPr>
          <w:rFonts w:ascii="Arial" w:hAnsi="Arial" w:cs="Arial"/>
          <w:b/>
          <w:bCs/>
          <w:sz w:val="24"/>
          <w:szCs w:val="24"/>
        </w:rPr>
        <w:t xml:space="preserve"> </w:t>
      </w:r>
      <w:r w:rsidR="00D417C2" w:rsidRPr="00D417C2">
        <w:rPr>
          <w:rFonts w:ascii="Arial" w:hAnsi="Arial" w:cs="Arial"/>
          <w:b/>
          <w:bCs/>
          <w:sz w:val="24"/>
          <w:szCs w:val="24"/>
        </w:rPr>
        <w:t>Estatal</w:t>
      </w:r>
    </w:p>
    <w:p w14:paraId="620652E1" w14:textId="4B57A84C" w:rsidR="00B2127D" w:rsidRDefault="00B2127D" w:rsidP="00B2127D">
      <w:pPr>
        <w:spacing w:line="276" w:lineRule="auto"/>
        <w:jc w:val="center"/>
        <w:rPr>
          <w:rFonts w:ascii="Arial" w:hAnsi="Arial" w:cs="Arial"/>
          <w:kern w:val="0"/>
          <w:sz w:val="24"/>
          <w:szCs w:val="24"/>
        </w:rPr>
      </w:pPr>
    </w:p>
    <w:p w14:paraId="7BB6C2AF" w14:textId="77777777" w:rsidR="00532432" w:rsidRPr="00532432" w:rsidRDefault="00532432" w:rsidP="005F5553">
      <w:pPr>
        <w:spacing w:before="100" w:beforeAutospacing="1" w:after="100" w:afterAutospacing="1" w:line="360" w:lineRule="auto"/>
        <w:ind w:left="-397"/>
        <w:jc w:val="both"/>
        <w:rPr>
          <w:rFonts w:ascii="Arial" w:eastAsia="Times New Roman" w:hAnsi="Arial" w:cs="Arial"/>
          <w:kern w:val="0"/>
          <w:sz w:val="24"/>
          <w:szCs w:val="24"/>
          <w:lang w:eastAsia="es-MX"/>
          <w14:ligatures w14:val="none"/>
        </w:rPr>
      </w:pPr>
      <w:r w:rsidRPr="00532432">
        <w:rPr>
          <w:rFonts w:ascii="Arial" w:eastAsia="Times New Roman" w:hAnsi="Arial" w:cs="Arial"/>
          <w:kern w:val="0"/>
          <w:sz w:val="24"/>
          <w:szCs w:val="24"/>
          <w:lang w:eastAsia="es-MX"/>
          <w14:ligatures w14:val="none"/>
        </w:rPr>
        <w:t xml:space="preserve">El análisis de la situación económica del estado de Guerrero durante el primer trimestre de 2026 revela que enfrenta desafíos estructurales profundos, por la persistente inseguridad y la vulnerabilidad ante fenómenos climáticos y geopolíticos. La actividad económica estatal ha operado bajo una presión derivada de la desarticulación de las cadenas de valor en sectores estratégicos como el turismo y la agricultura de exportación. Su desempeño económico del estado durante el tercer trimestre de 2025 refleja una dinámica de recuperación superior a la media nacional, consolidándose con una variación anual positiva del 3.4% en su actividad económica. </w:t>
      </w:r>
    </w:p>
    <w:p w14:paraId="2D57BF9E" w14:textId="77777777" w:rsidR="00532432" w:rsidRPr="00532432" w:rsidRDefault="00532432" w:rsidP="005F5553">
      <w:pPr>
        <w:spacing w:before="100" w:beforeAutospacing="1" w:after="100" w:afterAutospacing="1" w:line="360" w:lineRule="auto"/>
        <w:ind w:left="-397"/>
        <w:jc w:val="both"/>
        <w:rPr>
          <w:rFonts w:ascii="Arial" w:eastAsia="Times New Roman" w:hAnsi="Arial" w:cs="Arial"/>
          <w:kern w:val="0"/>
          <w:sz w:val="24"/>
          <w:szCs w:val="24"/>
          <w:lang w:eastAsia="es-MX"/>
          <w14:ligatures w14:val="none"/>
        </w:rPr>
      </w:pPr>
      <w:r w:rsidRPr="00532432">
        <w:rPr>
          <w:rFonts w:ascii="Arial" w:eastAsia="Times New Roman" w:hAnsi="Arial" w:cs="Arial"/>
          <w:kern w:val="0"/>
          <w:sz w:val="24"/>
          <w:szCs w:val="24"/>
          <w:lang w:eastAsia="es-MX"/>
          <w14:ligatures w14:val="none"/>
        </w:rPr>
        <w:t>Este resultado posiciona a la entidad en un estrato de dinamismo destacado, superando el crecimiento de regiones con mayor industria o comercio, como la Ciudad de México (1.5%) o Jalisco (1.5%), y las contracciones observadas en estados del sur como Oaxaca (-5.4%) o Tabasco (-4.7%). La relevancia de este crecimiento radica en la capacidad de los sectores locales para absorber las presiones del contexto mundial y la volatilidad en los costos de insumos.</w:t>
      </w:r>
    </w:p>
    <w:p w14:paraId="1A5ED69C" w14:textId="77777777" w:rsidR="00532432" w:rsidRPr="00532432" w:rsidRDefault="00532432" w:rsidP="005F5553">
      <w:pPr>
        <w:spacing w:before="100" w:beforeAutospacing="1" w:after="100" w:afterAutospacing="1" w:line="360" w:lineRule="auto"/>
        <w:ind w:left="-397"/>
        <w:jc w:val="both"/>
        <w:rPr>
          <w:rFonts w:ascii="Arial" w:eastAsia="Times New Roman" w:hAnsi="Arial" w:cs="Arial"/>
          <w:kern w:val="0"/>
          <w:sz w:val="24"/>
          <w:szCs w:val="24"/>
          <w:lang w:eastAsia="es-MX"/>
          <w14:ligatures w14:val="none"/>
        </w:rPr>
      </w:pPr>
      <w:r w:rsidRPr="00532432">
        <w:rPr>
          <w:rFonts w:ascii="Arial" w:eastAsia="Times New Roman" w:hAnsi="Arial" w:cs="Arial"/>
          <w:kern w:val="0"/>
          <w:sz w:val="24"/>
          <w:szCs w:val="24"/>
          <w:lang w:eastAsia="es-MX"/>
          <w14:ligatures w14:val="none"/>
        </w:rPr>
        <w:t>Este análisis se sustenta en el Indicador Trimestral de la Actividad Económica Estatal (ITAEE), una herramienta técnica que es indispensable para la gestión financiera y la toma de decisiones estratégicas. A diferencia de las mediciones anuales, el ITAEE permite identificar tendencias de corto plazo y evaluar la eficacia de las políticas públicas y la inversión. Por lo que este indicador es el referente primordial para medir la competitividad frente al resto de las entidades federativas y proporciona una base técnica necesaria para la planeación presupuestaria y la evaluación de riesgos operativos en un entorno marcado por la incertidumbre geopolítica.</w:t>
      </w:r>
    </w:p>
    <w:p w14:paraId="2B50B2ED" w14:textId="452549D8" w:rsidR="00EE5A3F" w:rsidRDefault="00EE5A3F" w:rsidP="0066329F">
      <w:pPr>
        <w:spacing w:line="276" w:lineRule="auto"/>
        <w:jc w:val="both"/>
        <w:rPr>
          <w:rFonts w:ascii="Arial" w:hAnsi="Arial" w:cs="Arial"/>
          <w:kern w:val="0"/>
          <w:sz w:val="24"/>
          <w:szCs w:val="24"/>
          <w:lang w:val="es-419"/>
        </w:rPr>
      </w:pPr>
    </w:p>
    <w:p w14:paraId="428ECE77" w14:textId="7B9393C1" w:rsidR="00532432" w:rsidRDefault="00532432" w:rsidP="0066329F">
      <w:pPr>
        <w:spacing w:line="276" w:lineRule="auto"/>
        <w:jc w:val="both"/>
        <w:rPr>
          <w:rFonts w:ascii="Arial" w:hAnsi="Arial" w:cs="Arial"/>
          <w:kern w:val="0"/>
          <w:sz w:val="24"/>
          <w:szCs w:val="24"/>
          <w:lang w:val="es-419"/>
        </w:rPr>
      </w:pPr>
    </w:p>
    <w:p w14:paraId="67983BDC" w14:textId="563D64BA" w:rsidR="00532432" w:rsidRDefault="00532432" w:rsidP="0066329F">
      <w:pPr>
        <w:spacing w:line="276" w:lineRule="auto"/>
        <w:jc w:val="both"/>
        <w:rPr>
          <w:rFonts w:ascii="Arial" w:hAnsi="Arial" w:cs="Arial"/>
          <w:kern w:val="0"/>
          <w:sz w:val="24"/>
          <w:szCs w:val="24"/>
          <w:lang w:val="es-419"/>
        </w:rPr>
      </w:pPr>
    </w:p>
    <w:p w14:paraId="6C397D37" w14:textId="77777777" w:rsidR="00532432" w:rsidRPr="00532432" w:rsidRDefault="00532432" w:rsidP="00532432">
      <w:pPr>
        <w:spacing w:line="276" w:lineRule="auto"/>
        <w:jc w:val="center"/>
        <w:rPr>
          <w:rFonts w:ascii="Arial" w:hAnsi="Arial" w:cs="Arial"/>
          <w:kern w:val="0"/>
          <w:sz w:val="20"/>
          <w:szCs w:val="24"/>
          <w:lang w:eastAsia="es-MX"/>
          <w14:ligatures w14:val="none"/>
        </w:rPr>
      </w:pPr>
      <w:bookmarkStart w:id="0" w:name="_Hlk208572700"/>
      <w:r w:rsidRPr="00532432">
        <w:rPr>
          <w:rFonts w:ascii="Arial" w:hAnsi="Arial" w:cs="Arial"/>
          <w:kern w:val="0"/>
          <w:sz w:val="20"/>
          <w:szCs w:val="24"/>
          <w:lang w:eastAsia="es-MX"/>
          <w14:ligatures w14:val="none"/>
        </w:rPr>
        <w:lastRenderedPageBreak/>
        <w:t xml:space="preserve">Gráfico 4. </w:t>
      </w:r>
      <w:bookmarkEnd w:id="0"/>
      <w:r w:rsidRPr="00532432">
        <w:rPr>
          <w:rFonts w:ascii="Arial" w:hAnsi="Arial" w:cs="Arial"/>
          <w:kern w:val="0"/>
          <w:sz w:val="20"/>
          <w:szCs w:val="24"/>
          <w:lang w:eastAsia="es-MX"/>
          <w14:ligatures w14:val="none"/>
        </w:rPr>
        <w:t>Variación respecto al año anterior del Indicador Trimestral de la Actividad Económica Estatal de Guerrero (ITAEE), tercer trimestre 2025</w:t>
      </w:r>
    </w:p>
    <w:p w14:paraId="5F4A5DB8" w14:textId="7DC2AB8F" w:rsidR="00532432" w:rsidRDefault="00532432" w:rsidP="0066329F">
      <w:pPr>
        <w:spacing w:line="276" w:lineRule="auto"/>
        <w:jc w:val="both"/>
        <w:rPr>
          <w:rFonts w:ascii="Arial" w:hAnsi="Arial" w:cs="Arial"/>
          <w:kern w:val="0"/>
          <w:sz w:val="24"/>
          <w:szCs w:val="24"/>
          <w:lang w:val="es-419"/>
        </w:rPr>
      </w:pPr>
      <w:r>
        <w:rPr>
          <w:noProof/>
        </w:rPr>
        <w:drawing>
          <wp:inline distT="0" distB="0" distL="0" distR="0" wp14:anchorId="303C868F" wp14:editId="29CBF02C">
            <wp:extent cx="5368925" cy="3291840"/>
            <wp:effectExtent l="0" t="0" r="3175" b="3810"/>
            <wp:docPr id="484712248" name="Gráfico 1">
              <a:extLst xmlns:a="http://schemas.openxmlformats.org/drawingml/2006/main">
                <a:ext uri="{FF2B5EF4-FFF2-40B4-BE49-F238E27FC236}">
                  <a16:creationId xmlns:a16="http://schemas.microsoft.com/office/drawing/2014/main" id="{7CA8D29A-E9F1-34AD-8224-CBC01E913D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09D042DD" w14:textId="77777777" w:rsidR="00532432" w:rsidRPr="00532432" w:rsidRDefault="00532432" w:rsidP="00532432">
      <w:pPr>
        <w:pStyle w:val="fuente0"/>
        <w:spacing w:after="240" w:line="276" w:lineRule="auto"/>
        <w:rPr>
          <w:rFonts w:eastAsia="Times New Roman"/>
          <w:sz w:val="24"/>
        </w:rPr>
      </w:pPr>
      <w:r>
        <w:rPr>
          <w:sz w:val="24"/>
          <w:lang w:val="es-419"/>
        </w:rPr>
        <w:tab/>
      </w:r>
      <w:r w:rsidRPr="00532432">
        <w:t>Fuente: Elaborado con información de la información del Banco de Información Económica (BIE) de INEGI, (INEGI, 2026).</w:t>
      </w:r>
    </w:p>
    <w:p w14:paraId="15F574B6" w14:textId="0677FBE7" w:rsidR="00532432" w:rsidRDefault="00532432" w:rsidP="00532432">
      <w:pPr>
        <w:tabs>
          <w:tab w:val="left" w:pos="3114"/>
        </w:tabs>
        <w:spacing w:line="276" w:lineRule="auto"/>
        <w:jc w:val="both"/>
        <w:rPr>
          <w:rFonts w:ascii="Arial" w:hAnsi="Arial" w:cs="Arial"/>
          <w:kern w:val="0"/>
          <w:sz w:val="24"/>
          <w:szCs w:val="24"/>
          <w:lang w:val="es-419"/>
        </w:rPr>
      </w:pPr>
    </w:p>
    <w:p w14:paraId="5E809888" w14:textId="77777777" w:rsidR="00532432" w:rsidRPr="00532432" w:rsidRDefault="00532432" w:rsidP="005F5553">
      <w:pPr>
        <w:spacing w:before="100" w:beforeAutospacing="1" w:after="100" w:afterAutospacing="1" w:line="360" w:lineRule="auto"/>
        <w:ind w:left="-397"/>
        <w:jc w:val="both"/>
        <w:rPr>
          <w:rFonts w:ascii="Arial" w:eastAsia="Times New Roman" w:hAnsi="Arial" w:cs="Arial"/>
          <w:kern w:val="0"/>
          <w:sz w:val="24"/>
          <w:szCs w:val="24"/>
          <w:lang w:eastAsia="es-MX"/>
          <w14:ligatures w14:val="none"/>
        </w:rPr>
      </w:pPr>
      <w:r w:rsidRPr="00532432">
        <w:rPr>
          <w:rFonts w:ascii="Arial" w:eastAsia="Times New Roman" w:hAnsi="Arial" w:cs="Arial"/>
          <w:kern w:val="0"/>
          <w:sz w:val="24"/>
          <w:szCs w:val="24"/>
          <w:lang w:eastAsia="es-MX"/>
          <w14:ligatures w14:val="none"/>
        </w:rPr>
        <w:t>En conclusión, el avance del 3.4% reportado debe interpretarse como una señal de resiliencia de su estructura productiva, impulsada primordialmente por la recuperación de los servicios y el sector primario. No obstante, desde una perspectiva de reporte institucional, es imperativo reconocer que este dinamismo está sujeto a la sostenibilidad de la demanda externa y a la estabilidad de las variables de seguridad interna. Mientras que el ITAEE confirma que Guerrero se encuentra en una fase de expansión que desafía la desaceleración observada en otros puntos del país, la permanencia de estos niveles de crecimiento para el resto del ejercicio 2026 dependerá de la capacidad de la entidad para mitigar los cuellos de botella logísticos y mantener la confianza del capital en un mercado global fragmentado.</w:t>
      </w:r>
    </w:p>
    <w:p w14:paraId="6A7F04EB" w14:textId="25ECA8BA" w:rsidR="00532432" w:rsidRDefault="00532432" w:rsidP="0066329F">
      <w:pPr>
        <w:spacing w:line="276" w:lineRule="auto"/>
        <w:jc w:val="both"/>
        <w:rPr>
          <w:rFonts w:ascii="Arial" w:hAnsi="Arial" w:cs="Arial"/>
          <w:kern w:val="0"/>
          <w:sz w:val="24"/>
          <w:szCs w:val="24"/>
          <w:lang w:val="es-419"/>
        </w:rPr>
      </w:pPr>
    </w:p>
    <w:p w14:paraId="0311BCFE" w14:textId="5A8C1272" w:rsidR="00532432" w:rsidRDefault="00532432" w:rsidP="0066329F">
      <w:pPr>
        <w:spacing w:line="276" w:lineRule="auto"/>
        <w:jc w:val="both"/>
        <w:rPr>
          <w:rFonts w:ascii="Arial" w:hAnsi="Arial" w:cs="Arial"/>
          <w:kern w:val="0"/>
          <w:sz w:val="24"/>
          <w:szCs w:val="24"/>
          <w:lang w:val="es-419"/>
        </w:rPr>
      </w:pPr>
    </w:p>
    <w:p w14:paraId="17BE94A3" w14:textId="6BFF89AB" w:rsidR="00540FA6" w:rsidRDefault="00421AE9" w:rsidP="00963E88">
      <w:pPr>
        <w:spacing w:after="0" w:line="360" w:lineRule="auto"/>
        <w:ind w:left="-425"/>
        <w:jc w:val="both"/>
        <w:rPr>
          <w:rFonts w:ascii="Arial" w:hAnsi="Arial" w:cs="Arial"/>
          <w:b/>
          <w:sz w:val="24"/>
          <w:szCs w:val="24"/>
        </w:rPr>
      </w:pPr>
      <w:r>
        <w:rPr>
          <w:rFonts w:ascii="Arial" w:hAnsi="Arial" w:cs="Arial"/>
          <w:b/>
          <w:sz w:val="24"/>
          <w:szCs w:val="24"/>
        </w:rPr>
        <w:lastRenderedPageBreak/>
        <w:t xml:space="preserve">3.- </w:t>
      </w:r>
      <w:r w:rsidR="00B5173F" w:rsidRPr="00421AE9">
        <w:rPr>
          <w:rFonts w:ascii="Arial" w:hAnsi="Arial" w:cs="Arial"/>
          <w:b/>
          <w:sz w:val="24"/>
          <w:szCs w:val="24"/>
        </w:rPr>
        <w:t>Autorización y Antecedentes:</w:t>
      </w:r>
    </w:p>
    <w:p w14:paraId="53873B75" w14:textId="77777777" w:rsidR="00510F2E" w:rsidRPr="004A4A1C" w:rsidRDefault="00510F2E" w:rsidP="00963E88">
      <w:pPr>
        <w:spacing w:after="0" w:line="360" w:lineRule="auto"/>
        <w:ind w:left="-425"/>
        <w:jc w:val="both"/>
        <w:rPr>
          <w:rFonts w:ascii="Arial" w:hAnsi="Arial" w:cs="Arial"/>
          <w:b/>
          <w:sz w:val="24"/>
          <w:szCs w:val="24"/>
        </w:rPr>
      </w:pPr>
    </w:p>
    <w:p w14:paraId="0FFFCA68" w14:textId="77777777" w:rsidR="007215FF" w:rsidRDefault="00F44FFD" w:rsidP="00963E88">
      <w:pPr>
        <w:spacing w:after="0" w:line="360" w:lineRule="auto"/>
        <w:ind w:left="-425"/>
        <w:jc w:val="both"/>
        <w:rPr>
          <w:rFonts w:ascii="Arial" w:eastAsia="Calibri" w:hAnsi="Arial" w:cs="Arial"/>
          <w:sz w:val="24"/>
          <w:szCs w:val="24"/>
        </w:rPr>
      </w:pPr>
      <w:r>
        <w:rPr>
          <w:rFonts w:ascii="Arial" w:eastAsia="Calibri" w:hAnsi="Arial" w:cs="Arial"/>
          <w:sz w:val="24"/>
          <w:szCs w:val="24"/>
        </w:rPr>
        <w:t>Para asegurar y garantizar orden y organizar de manera eficiente el</w:t>
      </w:r>
      <w:r w:rsidR="00510F2E" w:rsidRPr="00FF5C35">
        <w:rPr>
          <w:rFonts w:ascii="Arial" w:eastAsia="Calibri" w:hAnsi="Arial" w:cs="Arial"/>
          <w:sz w:val="24"/>
          <w:szCs w:val="24"/>
        </w:rPr>
        <w:t xml:space="preserve"> funcionamiento de la Administración Pública Centralizada y Paraestatal del Estado de Guerrero</w:t>
      </w:r>
      <w:r w:rsidR="00510F2E">
        <w:rPr>
          <w:rFonts w:ascii="Arial" w:eastAsia="Calibri" w:hAnsi="Arial" w:cs="Arial"/>
          <w:sz w:val="24"/>
          <w:szCs w:val="24"/>
        </w:rPr>
        <w:t>,</w:t>
      </w:r>
      <w:r w:rsidR="00510F2E" w:rsidRPr="00FF5C35">
        <w:rPr>
          <w:rFonts w:ascii="Arial" w:eastAsia="Calibri" w:hAnsi="Arial" w:cs="Arial"/>
          <w:sz w:val="24"/>
          <w:szCs w:val="24"/>
        </w:rPr>
        <w:t xml:space="preserve"> se</w:t>
      </w:r>
      <w:r w:rsidR="007215FF">
        <w:rPr>
          <w:rFonts w:ascii="Arial" w:eastAsia="Calibri" w:hAnsi="Arial" w:cs="Arial"/>
          <w:sz w:val="24"/>
          <w:szCs w:val="24"/>
        </w:rPr>
        <w:t xml:space="preserve"> ha trabajo en la creación de Leyes, Reglamentos, Decretos y demás documentos normativos que brindan un mejor funcionamiento del aparato gubernamental.</w:t>
      </w:r>
    </w:p>
    <w:p w14:paraId="0917A3C2" w14:textId="77777777" w:rsidR="007215FF" w:rsidRDefault="007215FF" w:rsidP="00963E88">
      <w:pPr>
        <w:spacing w:after="0" w:line="360" w:lineRule="auto"/>
        <w:ind w:left="-113"/>
        <w:jc w:val="both"/>
        <w:rPr>
          <w:rFonts w:ascii="Arial" w:eastAsia="Calibri" w:hAnsi="Arial" w:cs="Arial"/>
          <w:sz w:val="24"/>
          <w:szCs w:val="24"/>
        </w:rPr>
      </w:pPr>
    </w:p>
    <w:p w14:paraId="58FAFE8E" w14:textId="02969A4D" w:rsidR="00510F2E" w:rsidRPr="00FF5C35" w:rsidRDefault="007215FF" w:rsidP="00963E88">
      <w:pPr>
        <w:spacing w:after="0" w:line="360" w:lineRule="auto"/>
        <w:ind w:left="-425"/>
        <w:jc w:val="both"/>
        <w:rPr>
          <w:rFonts w:ascii="Arial" w:eastAsia="Calibri" w:hAnsi="Arial" w:cs="Arial"/>
          <w:sz w:val="24"/>
          <w:szCs w:val="24"/>
        </w:rPr>
      </w:pPr>
      <w:r>
        <w:rPr>
          <w:rFonts w:ascii="Arial" w:eastAsia="Calibri" w:hAnsi="Arial" w:cs="Arial"/>
          <w:sz w:val="24"/>
          <w:szCs w:val="24"/>
        </w:rPr>
        <w:t>El 21</w:t>
      </w:r>
      <w:r w:rsidR="00510F2E">
        <w:rPr>
          <w:rFonts w:ascii="Arial" w:eastAsia="Calibri" w:hAnsi="Arial" w:cs="Arial"/>
          <w:sz w:val="24"/>
          <w:szCs w:val="24"/>
        </w:rPr>
        <w:t xml:space="preserve"> de abril de 1987</w:t>
      </w:r>
      <w:r>
        <w:rPr>
          <w:rFonts w:ascii="Arial" w:eastAsia="Calibri" w:hAnsi="Arial" w:cs="Arial"/>
          <w:sz w:val="24"/>
          <w:szCs w:val="24"/>
        </w:rPr>
        <w:t>, se publica</w:t>
      </w:r>
      <w:r w:rsidR="00510F2E" w:rsidRPr="00FF5C35">
        <w:rPr>
          <w:rFonts w:ascii="Arial" w:eastAsia="Calibri" w:hAnsi="Arial" w:cs="Arial"/>
          <w:sz w:val="24"/>
          <w:szCs w:val="24"/>
        </w:rPr>
        <w:t xml:space="preserve"> la Ley Orgánic</w:t>
      </w:r>
      <w:r w:rsidR="00510F2E">
        <w:rPr>
          <w:rFonts w:ascii="Arial" w:eastAsia="Calibri" w:hAnsi="Arial" w:cs="Arial"/>
          <w:sz w:val="24"/>
          <w:szCs w:val="24"/>
        </w:rPr>
        <w:t>a</w:t>
      </w:r>
      <w:r w:rsidR="00510F2E" w:rsidRPr="00FF5C35">
        <w:rPr>
          <w:rFonts w:ascii="Arial" w:eastAsia="Calibri" w:hAnsi="Arial" w:cs="Arial"/>
          <w:sz w:val="24"/>
          <w:szCs w:val="24"/>
        </w:rPr>
        <w:t xml:space="preserve"> de la Administración Pública del Estado de Guerrero Número 9, la </w:t>
      </w:r>
      <w:r w:rsidR="00510F2E">
        <w:rPr>
          <w:rFonts w:ascii="Arial" w:eastAsia="Calibri" w:hAnsi="Arial" w:cs="Arial"/>
          <w:sz w:val="24"/>
          <w:szCs w:val="24"/>
        </w:rPr>
        <w:t xml:space="preserve">cual fue reformada </w:t>
      </w:r>
      <w:r w:rsidR="00510F2E" w:rsidRPr="00FF5C35">
        <w:rPr>
          <w:rFonts w:ascii="Arial" w:eastAsia="Calibri" w:hAnsi="Arial" w:cs="Arial"/>
          <w:sz w:val="24"/>
          <w:szCs w:val="24"/>
        </w:rPr>
        <w:t xml:space="preserve">en </w:t>
      </w:r>
      <w:r w:rsidR="00510F2E">
        <w:rPr>
          <w:rFonts w:ascii="Arial" w:eastAsia="Calibri" w:hAnsi="Arial" w:cs="Arial"/>
          <w:sz w:val="24"/>
          <w:szCs w:val="24"/>
        </w:rPr>
        <w:t>diversos</w:t>
      </w:r>
      <w:r w:rsidR="00510F2E" w:rsidRPr="00FF5C35">
        <w:rPr>
          <w:rFonts w:ascii="Arial" w:eastAsia="Calibri" w:hAnsi="Arial" w:cs="Arial"/>
          <w:sz w:val="24"/>
          <w:szCs w:val="24"/>
        </w:rPr>
        <w:t xml:space="preserve"> </w:t>
      </w:r>
      <w:r>
        <w:rPr>
          <w:rFonts w:ascii="Arial" w:eastAsia="Calibri" w:hAnsi="Arial" w:cs="Arial"/>
          <w:sz w:val="24"/>
          <w:szCs w:val="24"/>
        </w:rPr>
        <w:t xml:space="preserve">momentos </w:t>
      </w:r>
      <w:r w:rsidRPr="00FF5C35">
        <w:rPr>
          <w:rFonts w:ascii="Arial" w:eastAsia="Calibri" w:hAnsi="Arial" w:cs="Arial"/>
          <w:sz w:val="24"/>
          <w:szCs w:val="24"/>
        </w:rPr>
        <w:t>como</w:t>
      </w:r>
      <w:r w:rsidR="00510F2E">
        <w:rPr>
          <w:rFonts w:ascii="Arial" w:eastAsia="Calibri" w:hAnsi="Arial" w:cs="Arial"/>
          <w:sz w:val="24"/>
          <w:szCs w:val="24"/>
        </w:rPr>
        <w:t xml:space="preserve"> </w:t>
      </w:r>
      <w:r>
        <w:rPr>
          <w:rFonts w:ascii="Arial" w:eastAsia="Calibri" w:hAnsi="Arial" w:cs="Arial"/>
          <w:sz w:val="24"/>
          <w:szCs w:val="24"/>
        </w:rPr>
        <w:t xml:space="preserve">consecuencia </w:t>
      </w:r>
      <w:r w:rsidRPr="00FF5C35">
        <w:rPr>
          <w:rFonts w:ascii="Arial" w:eastAsia="Calibri" w:hAnsi="Arial" w:cs="Arial"/>
          <w:sz w:val="24"/>
          <w:szCs w:val="24"/>
        </w:rPr>
        <w:t>de</w:t>
      </w:r>
      <w:r w:rsidR="00510F2E" w:rsidRPr="00FF5C35">
        <w:rPr>
          <w:rFonts w:ascii="Arial" w:eastAsia="Calibri" w:hAnsi="Arial" w:cs="Arial"/>
          <w:sz w:val="24"/>
          <w:szCs w:val="24"/>
        </w:rPr>
        <w:t xml:space="preserve"> las transformaciones naturales de</w:t>
      </w:r>
      <w:r w:rsidR="00510F2E">
        <w:rPr>
          <w:rFonts w:ascii="Arial" w:eastAsia="Calibri" w:hAnsi="Arial" w:cs="Arial"/>
          <w:sz w:val="24"/>
          <w:szCs w:val="24"/>
        </w:rPr>
        <w:t xml:space="preserve"> la Entidad</w:t>
      </w:r>
      <w:r w:rsidR="00510F2E" w:rsidRPr="00FF5C35">
        <w:rPr>
          <w:rFonts w:ascii="Arial" w:eastAsia="Calibri" w:hAnsi="Arial" w:cs="Arial"/>
          <w:sz w:val="24"/>
          <w:szCs w:val="24"/>
        </w:rPr>
        <w:t>, posteriormente fue derogada con la Ley orgánica</w:t>
      </w:r>
      <w:r w:rsidR="00510F2E">
        <w:rPr>
          <w:rFonts w:ascii="Arial" w:eastAsia="Calibri" w:hAnsi="Arial" w:cs="Arial"/>
          <w:sz w:val="24"/>
          <w:szCs w:val="24"/>
        </w:rPr>
        <w:t xml:space="preserve"> </w:t>
      </w:r>
      <w:r w:rsidR="00510F2E" w:rsidRPr="00FF5C35">
        <w:rPr>
          <w:rFonts w:ascii="Arial" w:eastAsia="Calibri" w:hAnsi="Arial" w:cs="Arial"/>
          <w:sz w:val="24"/>
          <w:szCs w:val="24"/>
        </w:rPr>
        <w:t xml:space="preserve">número 433, </w:t>
      </w:r>
      <w:r w:rsidR="00510F2E">
        <w:rPr>
          <w:rFonts w:ascii="Arial" w:eastAsia="Calibri" w:hAnsi="Arial" w:cs="Arial"/>
          <w:sz w:val="24"/>
          <w:szCs w:val="24"/>
        </w:rPr>
        <w:t xml:space="preserve">misma que se publicó </w:t>
      </w:r>
      <w:r w:rsidR="00510F2E" w:rsidRPr="00FF5C35">
        <w:rPr>
          <w:rFonts w:ascii="Arial" w:eastAsia="Calibri" w:hAnsi="Arial" w:cs="Arial"/>
          <w:sz w:val="24"/>
          <w:szCs w:val="24"/>
        </w:rPr>
        <w:t xml:space="preserve">el </w:t>
      </w:r>
      <w:r w:rsidR="00510F2E">
        <w:rPr>
          <w:rFonts w:ascii="Arial" w:eastAsia="Calibri" w:hAnsi="Arial" w:cs="Arial"/>
          <w:sz w:val="24"/>
          <w:szCs w:val="24"/>
        </w:rPr>
        <w:t>12</w:t>
      </w:r>
      <w:r w:rsidR="00510F2E" w:rsidRPr="00FF5C35">
        <w:rPr>
          <w:rFonts w:ascii="Arial" w:eastAsia="Calibri" w:hAnsi="Arial" w:cs="Arial"/>
          <w:sz w:val="24"/>
          <w:szCs w:val="24"/>
        </w:rPr>
        <w:t xml:space="preserve"> de octubre de </w:t>
      </w:r>
      <w:r w:rsidR="00510F2E">
        <w:rPr>
          <w:rFonts w:ascii="Arial" w:eastAsia="Calibri" w:hAnsi="Arial" w:cs="Arial"/>
          <w:sz w:val="24"/>
          <w:szCs w:val="24"/>
        </w:rPr>
        <w:t>1999;</w:t>
      </w:r>
      <w:r w:rsidR="00510F2E" w:rsidRPr="00FF5C35">
        <w:rPr>
          <w:rFonts w:ascii="Arial" w:eastAsia="Calibri" w:hAnsi="Arial" w:cs="Arial"/>
          <w:sz w:val="24"/>
          <w:szCs w:val="24"/>
        </w:rPr>
        <w:t xml:space="preserve"> </w:t>
      </w:r>
      <w:r w:rsidR="00510F2E">
        <w:rPr>
          <w:rFonts w:ascii="Arial" w:eastAsia="Calibri" w:hAnsi="Arial" w:cs="Arial"/>
          <w:sz w:val="24"/>
          <w:szCs w:val="24"/>
        </w:rPr>
        <w:t>e</w:t>
      </w:r>
      <w:r w:rsidR="00510F2E" w:rsidRPr="00FF5C35">
        <w:rPr>
          <w:rFonts w:ascii="Arial" w:eastAsia="Calibri" w:hAnsi="Arial" w:cs="Arial"/>
          <w:sz w:val="24"/>
          <w:szCs w:val="24"/>
        </w:rPr>
        <w:t xml:space="preserve">l 23 de octubre de 2015, se publica en el periódico oficial del Estado No. 85 alcance II, la Ley orgánica número 08, abrogando la anterior. </w:t>
      </w:r>
    </w:p>
    <w:p w14:paraId="2E763731" w14:textId="77777777" w:rsidR="00B5173F" w:rsidRPr="00FF5C35" w:rsidRDefault="00B5173F" w:rsidP="00B5173F">
      <w:pPr>
        <w:spacing w:after="0" w:line="360" w:lineRule="auto"/>
        <w:jc w:val="both"/>
        <w:rPr>
          <w:rFonts w:ascii="Arial" w:eastAsia="Calibri" w:hAnsi="Arial" w:cs="Arial"/>
          <w:sz w:val="24"/>
          <w:szCs w:val="24"/>
        </w:rPr>
      </w:pPr>
    </w:p>
    <w:p w14:paraId="08300E73" w14:textId="23FF8E99" w:rsidR="00B5173F" w:rsidRPr="00FF5C35" w:rsidRDefault="00B5173F" w:rsidP="00963E88">
      <w:pPr>
        <w:spacing w:after="0" w:line="360" w:lineRule="auto"/>
        <w:ind w:left="-425" w:right="-113"/>
        <w:jc w:val="both"/>
        <w:rPr>
          <w:rFonts w:ascii="Arial" w:eastAsia="Calibri" w:hAnsi="Arial" w:cs="Arial"/>
          <w:sz w:val="24"/>
          <w:szCs w:val="24"/>
        </w:rPr>
      </w:pPr>
      <w:r w:rsidRPr="00FF5C35">
        <w:rPr>
          <w:rFonts w:ascii="Arial" w:eastAsia="Calibri" w:hAnsi="Arial" w:cs="Arial"/>
          <w:sz w:val="24"/>
          <w:szCs w:val="24"/>
        </w:rPr>
        <w:t>Esta última, ha sufrido varias reformas y la más reciente fue publicada el viernes 14 de mayo de 2021, en el periódico oficial del Gobierno del Estado No. 39</w:t>
      </w:r>
      <w:r>
        <w:rPr>
          <w:rFonts w:ascii="Arial" w:eastAsia="Calibri" w:hAnsi="Arial" w:cs="Arial"/>
          <w:sz w:val="24"/>
          <w:szCs w:val="24"/>
        </w:rPr>
        <w:t>, de igual forma el pasado 11 de noviembre del 2022 fue publicada La Ley Orgánica de la Administración Pública del Estado de Guerrero número 242</w:t>
      </w:r>
      <w:r w:rsidR="006E308C">
        <w:rPr>
          <w:rFonts w:ascii="Arial" w:eastAsia="Calibri" w:hAnsi="Arial" w:cs="Arial"/>
          <w:sz w:val="24"/>
          <w:szCs w:val="24"/>
        </w:rPr>
        <w:t>, vigente a la fecha</w:t>
      </w:r>
      <w:r w:rsidR="00333CA8">
        <w:rPr>
          <w:rFonts w:ascii="Arial" w:eastAsia="Calibri" w:hAnsi="Arial" w:cs="Arial"/>
          <w:sz w:val="24"/>
          <w:szCs w:val="24"/>
        </w:rPr>
        <w:t xml:space="preserve"> en la cual se realizaron cambios de nombre a algunas Dependencias entre la</w:t>
      </w:r>
      <w:r w:rsidR="00510F2E">
        <w:rPr>
          <w:rFonts w:ascii="Arial" w:eastAsia="Calibri" w:hAnsi="Arial" w:cs="Arial"/>
          <w:sz w:val="24"/>
          <w:szCs w:val="24"/>
        </w:rPr>
        <w:t>s</w:t>
      </w:r>
      <w:r w:rsidR="00333CA8">
        <w:rPr>
          <w:rFonts w:ascii="Arial" w:eastAsia="Calibri" w:hAnsi="Arial" w:cs="Arial"/>
          <w:sz w:val="24"/>
          <w:szCs w:val="24"/>
        </w:rPr>
        <w:t xml:space="preserve"> que se encuentran, la Secretaría de Desarrollo Social pas</w:t>
      </w:r>
      <w:r w:rsidR="00760884">
        <w:rPr>
          <w:rFonts w:ascii="Arial" w:eastAsia="Calibri" w:hAnsi="Arial" w:cs="Arial"/>
          <w:sz w:val="24"/>
          <w:szCs w:val="24"/>
        </w:rPr>
        <w:t>ó</w:t>
      </w:r>
      <w:r w:rsidR="00333CA8">
        <w:rPr>
          <w:rFonts w:ascii="Arial" w:eastAsia="Calibri" w:hAnsi="Arial" w:cs="Arial"/>
          <w:sz w:val="24"/>
          <w:szCs w:val="24"/>
        </w:rPr>
        <w:t xml:space="preserve"> a ser la Secretaría de</w:t>
      </w:r>
      <w:r w:rsidR="00D55AA0">
        <w:rPr>
          <w:rFonts w:ascii="Arial" w:eastAsia="Calibri" w:hAnsi="Arial" w:cs="Arial"/>
          <w:sz w:val="24"/>
          <w:szCs w:val="24"/>
        </w:rPr>
        <w:t xml:space="preserve"> Bienestar, la Secretaría de Asuntos Indígenas y Afromexicanos </w:t>
      </w:r>
      <w:r w:rsidR="00510F2E">
        <w:rPr>
          <w:rFonts w:ascii="Arial" w:eastAsia="Calibri" w:hAnsi="Arial" w:cs="Arial"/>
          <w:sz w:val="24"/>
          <w:szCs w:val="24"/>
        </w:rPr>
        <w:t>su nombre fue modificado y actualmente es</w:t>
      </w:r>
      <w:r w:rsidR="00D55AA0">
        <w:rPr>
          <w:rFonts w:ascii="Arial" w:eastAsia="Calibri" w:hAnsi="Arial" w:cs="Arial"/>
          <w:sz w:val="24"/>
          <w:szCs w:val="24"/>
        </w:rPr>
        <w:t xml:space="preserve"> la Secretaría para el Desarrollo de las Comunidades y Pueblos Indígenas y Afromexicanos, de igual forma la Secretaría de Protección Civil</w:t>
      </w:r>
      <w:r w:rsidR="00510F2E">
        <w:rPr>
          <w:rFonts w:ascii="Arial" w:eastAsia="Calibri" w:hAnsi="Arial" w:cs="Arial"/>
          <w:sz w:val="24"/>
          <w:szCs w:val="24"/>
        </w:rPr>
        <w:t xml:space="preserve">, actualmente </w:t>
      </w:r>
      <w:r w:rsidR="00D55AA0">
        <w:rPr>
          <w:rFonts w:ascii="Arial" w:eastAsia="Calibri" w:hAnsi="Arial" w:cs="Arial"/>
          <w:sz w:val="24"/>
          <w:szCs w:val="24"/>
        </w:rPr>
        <w:t xml:space="preserve"> Secretaría de Gestión Integral de Riesgos y Protección Civil, etc.</w:t>
      </w:r>
    </w:p>
    <w:p w14:paraId="36A6F55F" w14:textId="5D39B180" w:rsidR="00B5173F" w:rsidRDefault="00B5173F" w:rsidP="00B5173F">
      <w:pPr>
        <w:spacing w:after="0" w:line="360" w:lineRule="auto"/>
        <w:jc w:val="both"/>
        <w:rPr>
          <w:rFonts w:ascii="Arial" w:eastAsia="Calibri" w:hAnsi="Arial" w:cs="Arial"/>
          <w:sz w:val="24"/>
          <w:szCs w:val="24"/>
        </w:rPr>
      </w:pPr>
    </w:p>
    <w:p w14:paraId="4E63B7E8" w14:textId="0F1AF1FD" w:rsidR="008A5EB8" w:rsidRDefault="008A5EB8" w:rsidP="00B5173F">
      <w:pPr>
        <w:spacing w:after="0" w:line="360" w:lineRule="auto"/>
        <w:jc w:val="both"/>
        <w:rPr>
          <w:rFonts w:ascii="Arial" w:eastAsia="Calibri" w:hAnsi="Arial" w:cs="Arial"/>
          <w:sz w:val="24"/>
          <w:szCs w:val="24"/>
        </w:rPr>
      </w:pPr>
    </w:p>
    <w:p w14:paraId="17C225BE" w14:textId="7E3FE986" w:rsidR="00484865" w:rsidRDefault="00484865" w:rsidP="00B5173F">
      <w:pPr>
        <w:spacing w:after="0" w:line="360" w:lineRule="auto"/>
        <w:jc w:val="both"/>
        <w:rPr>
          <w:rFonts w:ascii="Arial" w:eastAsia="Calibri" w:hAnsi="Arial" w:cs="Arial"/>
          <w:sz w:val="24"/>
          <w:szCs w:val="24"/>
        </w:rPr>
      </w:pPr>
    </w:p>
    <w:p w14:paraId="74EEA3B3" w14:textId="020B0B22" w:rsidR="002E3620" w:rsidRDefault="002E3620" w:rsidP="00B5173F">
      <w:pPr>
        <w:spacing w:after="0" w:line="360" w:lineRule="auto"/>
        <w:jc w:val="both"/>
        <w:rPr>
          <w:rFonts w:ascii="Arial" w:eastAsia="Calibri" w:hAnsi="Arial" w:cs="Arial"/>
          <w:sz w:val="24"/>
          <w:szCs w:val="24"/>
        </w:rPr>
      </w:pPr>
    </w:p>
    <w:p w14:paraId="7CB6C9A0" w14:textId="0B61FAC3" w:rsidR="002E3620" w:rsidRDefault="002E3620" w:rsidP="00B5173F">
      <w:pPr>
        <w:spacing w:after="0" w:line="360" w:lineRule="auto"/>
        <w:jc w:val="both"/>
        <w:rPr>
          <w:rFonts w:ascii="Arial" w:eastAsia="Calibri" w:hAnsi="Arial" w:cs="Arial"/>
          <w:sz w:val="24"/>
          <w:szCs w:val="24"/>
        </w:rPr>
      </w:pPr>
    </w:p>
    <w:p w14:paraId="48DDCA27" w14:textId="77777777" w:rsidR="002E3620" w:rsidRDefault="002E3620" w:rsidP="00B5173F">
      <w:pPr>
        <w:spacing w:after="0" w:line="360" w:lineRule="auto"/>
        <w:jc w:val="both"/>
        <w:rPr>
          <w:rFonts w:ascii="Arial" w:eastAsia="Calibri" w:hAnsi="Arial" w:cs="Arial"/>
          <w:sz w:val="24"/>
          <w:szCs w:val="24"/>
        </w:rPr>
      </w:pPr>
    </w:p>
    <w:p w14:paraId="6991AA05" w14:textId="77777777" w:rsidR="00EE5A3F" w:rsidRDefault="00EE5A3F" w:rsidP="00B5173F">
      <w:pPr>
        <w:spacing w:after="0" w:line="360" w:lineRule="auto"/>
        <w:jc w:val="both"/>
        <w:rPr>
          <w:rFonts w:ascii="Arial" w:eastAsia="Calibri" w:hAnsi="Arial" w:cs="Arial"/>
          <w:b/>
          <w:sz w:val="24"/>
          <w:szCs w:val="24"/>
        </w:rPr>
      </w:pPr>
    </w:p>
    <w:p w14:paraId="3E1FFBB4" w14:textId="46D80DAE" w:rsidR="00B5173F" w:rsidRDefault="00B5173F" w:rsidP="00963E88">
      <w:pPr>
        <w:spacing w:after="0" w:line="360" w:lineRule="auto"/>
        <w:ind w:left="-425"/>
        <w:jc w:val="both"/>
        <w:rPr>
          <w:rFonts w:ascii="Arial" w:eastAsia="Calibri" w:hAnsi="Arial" w:cs="Arial"/>
          <w:b/>
          <w:sz w:val="24"/>
          <w:szCs w:val="24"/>
        </w:rPr>
      </w:pPr>
      <w:r w:rsidRPr="00FF5C35">
        <w:rPr>
          <w:rFonts w:ascii="Arial" w:eastAsia="Calibri" w:hAnsi="Arial" w:cs="Arial"/>
          <w:b/>
          <w:sz w:val="24"/>
          <w:szCs w:val="24"/>
        </w:rPr>
        <w:lastRenderedPageBreak/>
        <w:t>4. Organización y Objeto Social:</w:t>
      </w:r>
    </w:p>
    <w:p w14:paraId="032F768D" w14:textId="77777777" w:rsidR="00C72DDC" w:rsidRPr="00FF5C35" w:rsidRDefault="00C72DDC" w:rsidP="00963E88">
      <w:pPr>
        <w:spacing w:after="0" w:line="360" w:lineRule="auto"/>
        <w:ind w:left="-425"/>
        <w:jc w:val="both"/>
        <w:rPr>
          <w:rFonts w:ascii="Arial" w:eastAsia="Calibri" w:hAnsi="Arial" w:cs="Arial"/>
          <w:b/>
          <w:sz w:val="24"/>
          <w:szCs w:val="24"/>
        </w:rPr>
      </w:pPr>
    </w:p>
    <w:p w14:paraId="6C07F916" w14:textId="66793A75" w:rsidR="00B5173F" w:rsidRPr="00FF5C35" w:rsidRDefault="00B5173F" w:rsidP="00963E88">
      <w:pPr>
        <w:spacing w:after="0" w:line="360" w:lineRule="auto"/>
        <w:ind w:left="-425"/>
        <w:jc w:val="both"/>
        <w:rPr>
          <w:rFonts w:ascii="Arial" w:eastAsia="Calibri" w:hAnsi="Arial" w:cs="Arial"/>
          <w:sz w:val="24"/>
          <w:szCs w:val="24"/>
        </w:rPr>
      </w:pPr>
      <w:r w:rsidRPr="00FF5C35">
        <w:rPr>
          <w:rFonts w:ascii="Arial" w:eastAsia="Calibri" w:hAnsi="Arial" w:cs="Arial"/>
          <w:sz w:val="24"/>
          <w:szCs w:val="24"/>
        </w:rPr>
        <w:t xml:space="preserve">El Poder Ejecutivo </w:t>
      </w:r>
      <w:r>
        <w:rPr>
          <w:rFonts w:ascii="Arial" w:eastAsia="Calibri" w:hAnsi="Arial" w:cs="Arial"/>
          <w:sz w:val="24"/>
          <w:szCs w:val="24"/>
        </w:rPr>
        <w:t>recae</w:t>
      </w:r>
      <w:r w:rsidRPr="00FF5C35">
        <w:rPr>
          <w:rFonts w:ascii="Arial" w:eastAsia="Calibri" w:hAnsi="Arial" w:cs="Arial"/>
          <w:sz w:val="24"/>
          <w:szCs w:val="24"/>
        </w:rPr>
        <w:t xml:space="preserve"> en un</w:t>
      </w:r>
      <w:r w:rsidR="006E308C">
        <w:rPr>
          <w:rFonts w:ascii="Arial" w:eastAsia="Calibri" w:hAnsi="Arial" w:cs="Arial"/>
          <w:sz w:val="24"/>
          <w:szCs w:val="24"/>
        </w:rPr>
        <w:t>a figura pública</w:t>
      </w:r>
      <w:r w:rsidRPr="00FF5C35">
        <w:rPr>
          <w:rFonts w:ascii="Arial" w:eastAsia="Calibri" w:hAnsi="Arial" w:cs="Arial"/>
          <w:sz w:val="24"/>
          <w:szCs w:val="24"/>
        </w:rPr>
        <w:t xml:space="preserve"> que se denomina Gobernador</w:t>
      </w:r>
      <w:r w:rsidR="006E308C">
        <w:rPr>
          <w:rFonts w:ascii="Arial" w:eastAsia="Calibri" w:hAnsi="Arial" w:cs="Arial"/>
          <w:sz w:val="24"/>
          <w:szCs w:val="24"/>
        </w:rPr>
        <w:t xml:space="preserve">a </w:t>
      </w:r>
      <w:r w:rsidRPr="00FF5C35">
        <w:rPr>
          <w:rFonts w:ascii="Arial" w:eastAsia="Calibri" w:hAnsi="Arial" w:cs="Arial"/>
          <w:sz w:val="24"/>
          <w:szCs w:val="24"/>
        </w:rPr>
        <w:t>Constitucional del Estado de Guerrero. Para el despacho de los asuntos que competen al</w:t>
      </w:r>
      <w:r>
        <w:rPr>
          <w:rFonts w:ascii="Arial" w:eastAsia="Calibri" w:hAnsi="Arial" w:cs="Arial"/>
          <w:sz w:val="24"/>
          <w:szCs w:val="24"/>
        </w:rPr>
        <w:t xml:space="preserve"> mismo</w:t>
      </w:r>
      <w:r w:rsidRPr="00FF5C35">
        <w:rPr>
          <w:rFonts w:ascii="Arial" w:eastAsia="Calibri" w:hAnsi="Arial" w:cs="Arial"/>
          <w:sz w:val="24"/>
          <w:szCs w:val="24"/>
        </w:rPr>
        <w:t>,</w:t>
      </w:r>
      <w:r w:rsidR="008149A6">
        <w:rPr>
          <w:rFonts w:ascii="Arial" w:eastAsia="Calibri" w:hAnsi="Arial" w:cs="Arial"/>
          <w:sz w:val="24"/>
          <w:szCs w:val="24"/>
        </w:rPr>
        <w:t xml:space="preserve"> la </w:t>
      </w:r>
      <w:r w:rsidRPr="00FF5C35">
        <w:rPr>
          <w:rFonts w:ascii="Arial" w:eastAsia="Calibri" w:hAnsi="Arial" w:cs="Arial"/>
          <w:sz w:val="24"/>
          <w:szCs w:val="24"/>
        </w:rPr>
        <w:t>Gobernador</w:t>
      </w:r>
      <w:r>
        <w:rPr>
          <w:rFonts w:ascii="Arial" w:eastAsia="Calibri" w:hAnsi="Arial" w:cs="Arial"/>
          <w:sz w:val="24"/>
          <w:szCs w:val="24"/>
        </w:rPr>
        <w:t>a</w:t>
      </w:r>
      <w:r w:rsidRPr="00FF5C35">
        <w:rPr>
          <w:rFonts w:ascii="Arial" w:eastAsia="Calibri" w:hAnsi="Arial" w:cs="Arial"/>
          <w:sz w:val="24"/>
          <w:szCs w:val="24"/>
        </w:rPr>
        <w:t xml:space="preserve"> se </w:t>
      </w:r>
      <w:r w:rsidR="008149A6">
        <w:rPr>
          <w:rFonts w:ascii="Arial" w:eastAsia="Calibri" w:hAnsi="Arial" w:cs="Arial"/>
          <w:sz w:val="24"/>
          <w:szCs w:val="24"/>
        </w:rPr>
        <w:t>apoyará</w:t>
      </w:r>
      <w:r w:rsidRPr="00FF5C35">
        <w:rPr>
          <w:rFonts w:ascii="Arial" w:eastAsia="Calibri" w:hAnsi="Arial" w:cs="Arial"/>
          <w:sz w:val="24"/>
          <w:szCs w:val="24"/>
        </w:rPr>
        <w:t xml:space="preserve"> de </w:t>
      </w:r>
      <w:r w:rsidR="009871A2">
        <w:rPr>
          <w:rFonts w:ascii="Arial" w:eastAsia="Calibri" w:hAnsi="Arial" w:cs="Arial"/>
          <w:sz w:val="24"/>
          <w:szCs w:val="24"/>
        </w:rPr>
        <w:t xml:space="preserve">secretarias y </w:t>
      </w:r>
      <w:r w:rsidR="001318AE">
        <w:rPr>
          <w:rFonts w:ascii="Arial" w:eastAsia="Calibri" w:hAnsi="Arial" w:cs="Arial"/>
          <w:sz w:val="24"/>
          <w:szCs w:val="24"/>
        </w:rPr>
        <w:t>secretarios</w:t>
      </w:r>
      <w:r w:rsidRPr="00FF5C35">
        <w:rPr>
          <w:rFonts w:ascii="Arial" w:eastAsia="Calibri" w:hAnsi="Arial" w:cs="Arial"/>
          <w:sz w:val="24"/>
          <w:szCs w:val="24"/>
        </w:rPr>
        <w:t xml:space="preserve"> de </w:t>
      </w:r>
      <w:r>
        <w:rPr>
          <w:rFonts w:ascii="Arial" w:eastAsia="Calibri" w:hAnsi="Arial" w:cs="Arial"/>
          <w:sz w:val="24"/>
          <w:szCs w:val="24"/>
        </w:rPr>
        <w:t>d</w:t>
      </w:r>
      <w:r w:rsidRPr="00FF5C35">
        <w:rPr>
          <w:rFonts w:ascii="Arial" w:eastAsia="Calibri" w:hAnsi="Arial" w:cs="Arial"/>
          <w:sz w:val="24"/>
          <w:szCs w:val="24"/>
        </w:rPr>
        <w:t xml:space="preserve">espacho y de los </w:t>
      </w:r>
      <w:r>
        <w:rPr>
          <w:rFonts w:ascii="Arial" w:eastAsia="Calibri" w:hAnsi="Arial" w:cs="Arial"/>
          <w:sz w:val="24"/>
          <w:szCs w:val="24"/>
        </w:rPr>
        <w:t>S</w:t>
      </w:r>
      <w:r w:rsidRPr="00FF5C35">
        <w:rPr>
          <w:rFonts w:ascii="Arial" w:eastAsia="Calibri" w:hAnsi="Arial" w:cs="Arial"/>
          <w:sz w:val="24"/>
          <w:szCs w:val="24"/>
        </w:rPr>
        <w:t xml:space="preserve">ervidores </w:t>
      </w:r>
      <w:r>
        <w:rPr>
          <w:rFonts w:ascii="Arial" w:eastAsia="Calibri" w:hAnsi="Arial" w:cs="Arial"/>
          <w:sz w:val="24"/>
          <w:szCs w:val="24"/>
        </w:rPr>
        <w:t>P</w:t>
      </w:r>
      <w:r w:rsidRPr="00FF5C35">
        <w:rPr>
          <w:rFonts w:ascii="Arial" w:eastAsia="Calibri" w:hAnsi="Arial" w:cs="Arial"/>
          <w:sz w:val="24"/>
          <w:szCs w:val="24"/>
        </w:rPr>
        <w:t>úblicos que las necesidades de la administración pública demanden, en los términos de la ley orgánica respectiva.</w:t>
      </w:r>
    </w:p>
    <w:p w14:paraId="08EBB2E3" w14:textId="77777777" w:rsidR="00B5173F" w:rsidRPr="00FF5C35" w:rsidRDefault="00B5173F" w:rsidP="00963E88">
      <w:pPr>
        <w:spacing w:after="0" w:line="360" w:lineRule="auto"/>
        <w:ind w:left="-425"/>
        <w:jc w:val="both"/>
        <w:rPr>
          <w:rFonts w:ascii="Arial" w:eastAsia="Calibri" w:hAnsi="Arial" w:cs="Arial"/>
          <w:sz w:val="24"/>
          <w:szCs w:val="24"/>
        </w:rPr>
      </w:pPr>
    </w:p>
    <w:p w14:paraId="29B382FF" w14:textId="77777777" w:rsidR="00536356" w:rsidRDefault="00536356" w:rsidP="00963E88">
      <w:pPr>
        <w:spacing w:after="0" w:line="360" w:lineRule="auto"/>
        <w:ind w:left="-425"/>
        <w:jc w:val="both"/>
        <w:rPr>
          <w:rFonts w:ascii="Arial" w:eastAsia="Calibri" w:hAnsi="Arial" w:cs="Arial"/>
          <w:sz w:val="24"/>
          <w:szCs w:val="24"/>
        </w:rPr>
      </w:pPr>
    </w:p>
    <w:p w14:paraId="553A6589" w14:textId="66B53738" w:rsidR="00B5173F" w:rsidRDefault="00B5173F" w:rsidP="00963E88">
      <w:pPr>
        <w:spacing w:after="0" w:line="360" w:lineRule="auto"/>
        <w:ind w:left="-425"/>
        <w:jc w:val="both"/>
        <w:rPr>
          <w:rFonts w:ascii="Arial" w:eastAsia="Calibri" w:hAnsi="Arial" w:cs="Arial"/>
          <w:sz w:val="24"/>
          <w:szCs w:val="24"/>
        </w:rPr>
      </w:pPr>
      <w:r w:rsidRPr="00FF5C35">
        <w:rPr>
          <w:rFonts w:ascii="Arial" w:eastAsia="Calibri" w:hAnsi="Arial" w:cs="Arial"/>
          <w:sz w:val="24"/>
          <w:szCs w:val="24"/>
        </w:rPr>
        <w:t>El ejercicio del Poder Ejecutivo corresponde a</w:t>
      </w:r>
      <w:r>
        <w:rPr>
          <w:rFonts w:ascii="Arial" w:eastAsia="Calibri" w:hAnsi="Arial" w:cs="Arial"/>
          <w:sz w:val="24"/>
          <w:szCs w:val="24"/>
        </w:rPr>
        <w:t xml:space="preserve"> </w:t>
      </w:r>
      <w:r w:rsidRPr="00FF5C35">
        <w:rPr>
          <w:rFonts w:ascii="Arial" w:eastAsia="Calibri" w:hAnsi="Arial" w:cs="Arial"/>
          <w:sz w:val="24"/>
          <w:szCs w:val="24"/>
        </w:rPr>
        <w:t>l</w:t>
      </w:r>
      <w:r>
        <w:rPr>
          <w:rFonts w:ascii="Arial" w:eastAsia="Calibri" w:hAnsi="Arial" w:cs="Arial"/>
          <w:sz w:val="24"/>
          <w:szCs w:val="24"/>
        </w:rPr>
        <w:t>a</w:t>
      </w:r>
      <w:r w:rsidRPr="00FF5C35">
        <w:rPr>
          <w:rFonts w:ascii="Arial" w:eastAsia="Calibri" w:hAnsi="Arial" w:cs="Arial"/>
          <w:sz w:val="24"/>
          <w:szCs w:val="24"/>
        </w:rPr>
        <w:t xml:space="preserve"> Gobernador</w:t>
      </w:r>
      <w:r>
        <w:rPr>
          <w:rFonts w:ascii="Arial" w:eastAsia="Calibri" w:hAnsi="Arial" w:cs="Arial"/>
          <w:sz w:val="24"/>
          <w:szCs w:val="24"/>
        </w:rPr>
        <w:t>a</w:t>
      </w:r>
      <w:r w:rsidRPr="00FF5C35">
        <w:rPr>
          <w:rFonts w:ascii="Arial" w:eastAsia="Calibri" w:hAnsi="Arial" w:cs="Arial"/>
          <w:sz w:val="24"/>
          <w:szCs w:val="24"/>
        </w:rPr>
        <w:t xml:space="preserve"> del Estado, quien tendrá́ las facultades, atribuciones y obligaciones que le señalen la Constitución Política de los Estados Unidos Mexicanos, la Constitución Política del Estado Libre y Soberano de Guerrero, la Ley Orgánica de la Administración Pública del Estado de Guerrero y las demás disposiciones jurídicas vigentes en la Entidad.</w:t>
      </w:r>
    </w:p>
    <w:p w14:paraId="51143D3A" w14:textId="06A4B136" w:rsidR="00536356" w:rsidRDefault="00536356" w:rsidP="00B5173F">
      <w:pPr>
        <w:spacing w:after="0" w:line="360" w:lineRule="auto"/>
        <w:jc w:val="both"/>
        <w:rPr>
          <w:rFonts w:ascii="Arial" w:eastAsia="Calibri" w:hAnsi="Arial" w:cs="Arial"/>
          <w:sz w:val="24"/>
          <w:szCs w:val="24"/>
        </w:rPr>
      </w:pPr>
    </w:p>
    <w:p w14:paraId="03B18237" w14:textId="20B7C4B4" w:rsidR="00D55AA0" w:rsidRDefault="00B5173F" w:rsidP="00484865">
      <w:pPr>
        <w:spacing w:after="0" w:line="360" w:lineRule="auto"/>
        <w:ind w:left="-397"/>
        <w:jc w:val="both"/>
        <w:rPr>
          <w:rFonts w:ascii="Arial" w:eastAsia="Times New Roman" w:hAnsi="Arial" w:cs="Arial"/>
          <w:sz w:val="24"/>
          <w:szCs w:val="24"/>
          <w:lang w:eastAsia="es-ES_tradnl"/>
        </w:rPr>
      </w:pPr>
      <w:r w:rsidRPr="00FF5C35">
        <w:rPr>
          <w:rFonts w:ascii="Arial" w:eastAsia="Calibri" w:hAnsi="Arial" w:cs="Arial"/>
          <w:b/>
          <w:bCs/>
          <w:sz w:val="24"/>
          <w:szCs w:val="24"/>
        </w:rPr>
        <w:t>La Titular del Ejecutivo</w:t>
      </w:r>
      <w:r w:rsidR="008149A6">
        <w:rPr>
          <w:rFonts w:ascii="Arial" w:eastAsia="Calibri" w:hAnsi="Arial" w:cs="Arial"/>
          <w:b/>
          <w:bCs/>
          <w:sz w:val="24"/>
          <w:szCs w:val="24"/>
        </w:rPr>
        <w:t>,</w:t>
      </w:r>
      <w:r w:rsidRPr="00FF5C35">
        <w:rPr>
          <w:rFonts w:ascii="Arial" w:eastAsia="Calibri" w:hAnsi="Arial" w:cs="Arial"/>
          <w:sz w:val="24"/>
          <w:szCs w:val="24"/>
        </w:rPr>
        <w:t xml:space="preserve"> tiene entre otras,  las siguientes atribuciones: Cumplir y hacer cumplir la Constitución Política de los Estados Unidos Mexicanos, las leyes federales, los tratados internacionales,</w:t>
      </w:r>
      <w:r w:rsidR="007F7734">
        <w:rPr>
          <w:rFonts w:ascii="Arial" w:eastAsia="Calibri" w:hAnsi="Arial" w:cs="Arial"/>
          <w:sz w:val="24"/>
          <w:szCs w:val="24"/>
        </w:rPr>
        <w:t xml:space="preserve"> la</w:t>
      </w:r>
      <w:r w:rsidRPr="00FF5C35">
        <w:rPr>
          <w:rFonts w:ascii="Arial" w:eastAsia="Calibri" w:hAnsi="Arial" w:cs="Arial"/>
          <w:sz w:val="24"/>
          <w:szCs w:val="24"/>
        </w:rPr>
        <w:t xml:space="preserve"> Constitución</w:t>
      </w:r>
      <w:r w:rsidR="007F7734">
        <w:rPr>
          <w:rFonts w:ascii="Arial" w:eastAsia="Calibri" w:hAnsi="Arial" w:cs="Arial"/>
          <w:sz w:val="24"/>
          <w:szCs w:val="24"/>
        </w:rPr>
        <w:t xml:space="preserve"> local</w:t>
      </w:r>
      <w:r w:rsidRPr="00FF5C35">
        <w:rPr>
          <w:rFonts w:ascii="Arial" w:eastAsia="Calibri" w:hAnsi="Arial" w:cs="Arial"/>
          <w:sz w:val="24"/>
          <w:szCs w:val="24"/>
        </w:rPr>
        <w:t xml:space="preserve"> y las leyes que de ellas emanen; Planear y conducir el desarrollo integral del Estado en el ámbito de su competencia, y establecer los procedimientos de consulta para la formulación, implementación, ejecución, control y evaluación del Plan Estatal de Desarrollo y los programas que de él se deriven; Proveer a la eficaz satisfacción de los servicios públicos del Estado, de conformidad con los presupuestos aprobados, y gestionar aquellos que puedan proporcionar otras entidades públicas o privadas</w:t>
      </w:r>
      <w:r w:rsidRPr="00FF5C35">
        <w:rPr>
          <w:rFonts w:ascii="Arial" w:eastAsia="Times New Roman" w:hAnsi="Arial" w:cs="Arial"/>
          <w:sz w:val="24"/>
          <w:szCs w:val="24"/>
          <w:lang w:eastAsia="es-ES_tradnl"/>
        </w:rPr>
        <w:t xml:space="preserve">. </w:t>
      </w:r>
    </w:p>
    <w:p w14:paraId="40C7770A" w14:textId="77777777" w:rsidR="00B5173F" w:rsidRPr="00FF5C35" w:rsidRDefault="00B5173F" w:rsidP="00B5173F">
      <w:pPr>
        <w:spacing w:after="0" w:line="240" w:lineRule="auto"/>
        <w:jc w:val="both"/>
        <w:rPr>
          <w:rFonts w:ascii="Arial" w:eastAsia="Calibri" w:hAnsi="Arial" w:cs="Arial"/>
          <w:sz w:val="24"/>
          <w:szCs w:val="24"/>
        </w:rPr>
      </w:pPr>
    </w:p>
    <w:p w14:paraId="3F2E9D2A" w14:textId="107DCAC4" w:rsidR="00B5173F" w:rsidRDefault="00B5173F" w:rsidP="00B5173F">
      <w:pPr>
        <w:numPr>
          <w:ilvl w:val="0"/>
          <w:numId w:val="12"/>
        </w:numPr>
        <w:spacing w:after="0" w:line="360" w:lineRule="auto"/>
        <w:jc w:val="both"/>
        <w:rPr>
          <w:rFonts w:ascii="Arial" w:eastAsia="Calibri" w:hAnsi="Arial" w:cs="Arial"/>
          <w:sz w:val="24"/>
          <w:szCs w:val="24"/>
        </w:rPr>
      </w:pPr>
      <w:r w:rsidRPr="00FF5C35">
        <w:rPr>
          <w:rFonts w:ascii="Arial" w:eastAsia="Calibri" w:hAnsi="Arial" w:cs="Arial"/>
          <w:sz w:val="24"/>
          <w:szCs w:val="24"/>
        </w:rPr>
        <w:t xml:space="preserve">Régimen Jurídico que le es aplicable. </w:t>
      </w:r>
    </w:p>
    <w:p w14:paraId="44D87BDF" w14:textId="77777777" w:rsidR="00536356" w:rsidRPr="00FF5C35" w:rsidRDefault="00536356" w:rsidP="00536356">
      <w:pPr>
        <w:spacing w:after="0" w:line="360" w:lineRule="auto"/>
        <w:ind w:left="1068"/>
        <w:jc w:val="both"/>
        <w:rPr>
          <w:rFonts w:ascii="Arial" w:eastAsia="Calibri" w:hAnsi="Arial" w:cs="Arial"/>
          <w:sz w:val="24"/>
          <w:szCs w:val="24"/>
        </w:rPr>
      </w:pPr>
    </w:p>
    <w:p w14:paraId="7A5028A0" w14:textId="599AC94C" w:rsidR="00B5173F" w:rsidRDefault="00B5173F" w:rsidP="00484865">
      <w:pPr>
        <w:spacing w:after="0" w:line="360" w:lineRule="auto"/>
        <w:ind w:left="-397"/>
        <w:jc w:val="both"/>
        <w:rPr>
          <w:rFonts w:ascii="Arial" w:eastAsia="Calibri" w:hAnsi="Arial" w:cs="Arial"/>
          <w:sz w:val="24"/>
          <w:szCs w:val="24"/>
        </w:rPr>
      </w:pPr>
      <w:r w:rsidRPr="00FF5C35">
        <w:rPr>
          <w:rFonts w:ascii="Arial" w:eastAsia="Calibri" w:hAnsi="Arial" w:cs="Arial"/>
          <w:sz w:val="24"/>
          <w:szCs w:val="24"/>
        </w:rPr>
        <w:t xml:space="preserve">El régimen fiscal de la entidad pública, ante la Secretaría de Hacienda y Crédito Público es: Personas Morales con Fines no Lucrativos, la denominación o razón social como contribuyente es: Secretaría de Finanzas y Administración del Estado de Guerrero, el registro federal de causantes es: SFA830301521, con domicilio en Boulevard Rene </w:t>
      </w:r>
      <w:r w:rsidRPr="00FF5C35">
        <w:rPr>
          <w:rFonts w:ascii="Arial" w:eastAsia="Calibri" w:hAnsi="Arial" w:cs="Arial"/>
          <w:sz w:val="24"/>
          <w:szCs w:val="24"/>
        </w:rPr>
        <w:lastRenderedPageBreak/>
        <w:t>Juárez Cisneros número 62, colonia Ciudad de los Servicios, código postal 39074, en Chilpancingo, Guerrero.</w:t>
      </w:r>
    </w:p>
    <w:p w14:paraId="22294599" w14:textId="1C8DFEC4" w:rsidR="00F90820" w:rsidRDefault="00F90820" w:rsidP="00B5173F">
      <w:pPr>
        <w:spacing w:after="0" w:line="360" w:lineRule="auto"/>
        <w:jc w:val="both"/>
        <w:rPr>
          <w:rFonts w:ascii="Arial" w:eastAsia="Calibri" w:hAnsi="Arial" w:cs="Arial"/>
          <w:sz w:val="24"/>
          <w:szCs w:val="24"/>
        </w:rPr>
      </w:pPr>
    </w:p>
    <w:p w14:paraId="2434F3E2" w14:textId="4532FAF6" w:rsidR="000E3E7B" w:rsidRDefault="00B5173F" w:rsidP="004A4A1C">
      <w:pPr>
        <w:numPr>
          <w:ilvl w:val="0"/>
          <w:numId w:val="12"/>
        </w:numPr>
        <w:spacing w:after="0" w:line="240" w:lineRule="auto"/>
        <w:jc w:val="both"/>
        <w:rPr>
          <w:rFonts w:ascii="Arial" w:eastAsia="Calibri" w:hAnsi="Arial" w:cs="Arial"/>
          <w:sz w:val="24"/>
          <w:szCs w:val="24"/>
        </w:rPr>
      </w:pPr>
      <w:r w:rsidRPr="00FF5C35">
        <w:rPr>
          <w:rFonts w:ascii="Arial" w:eastAsia="Calibri" w:hAnsi="Arial" w:cs="Arial"/>
          <w:sz w:val="24"/>
          <w:szCs w:val="24"/>
        </w:rPr>
        <w:t>Consideraciones fiscales del ente.</w:t>
      </w:r>
    </w:p>
    <w:p w14:paraId="4FD295A5" w14:textId="77777777" w:rsidR="00484865" w:rsidRPr="004A4A1C" w:rsidRDefault="00484865" w:rsidP="00484865">
      <w:pPr>
        <w:spacing w:after="0" w:line="240" w:lineRule="auto"/>
        <w:ind w:left="1068"/>
        <w:jc w:val="both"/>
        <w:rPr>
          <w:rFonts w:ascii="Arial" w:eastAsia="Calibri" w:hAnsi="Arial" w:cs="Arial"/>
          <w:sz w:val="24"/>
          <w:szCs w:val="24"/>
        </w:rPr>
      </w:pPr>
    </w:p>
    <w:p w14:paraId="39CF11EF" w14:textId="77777777" w:rsidR="000E3E7B" w:rsidRPr="00030057" w:rsidRDefault="000E3E7B" w:rsidP="00B5173F">
      <w:pPr>
        <w:spacing w:after="0" w:line="240" w:lineRule="auto"/>
        <w:ind w:left="360"/>
        <w:jc w:val="both"/>
        <w:rPr>
          <w:rFonts w:ascii="Arial" w:eastAsia="Calibri" w:hAnsi="Arial" w:cs="Arial"/>
          <w:sz w:val="18"/>
          <w:szCs w:val="18"/>
        </w:rPr>
      </w:pPr>
    </w:p>
    <w:tbl>
      <w:tblPr>
        <w:tblW w:w="9473" w:type="dxa"/>
        <w:tblCellMar>
          <w:top w:w="15" w:type="dxa"/>
          <w:left w:w="15" w:type="dxa"/>
          <w:bottom w:w="15" w:type="dxa"/>
          <w:right w:w="15" w:type="dxa"/>
        </w:tblCellMar>
        <w:tblLook w:val="04A0" w:firstRow="1" w:lastRow="0" w:firstColumn="1" w:lastColumn="0" w:noHBand="0" w:noVBand="1"/>
      </w:tblPr>
      <w:tblGrid>
        <w:gridCol w:w="4643"/>
        <w:gridCol w:w="3841"/>
        <w:gridCol w:w="989"/>
      </w:tblGrid>
      <w:tr w:rsidR="00B5173F" w:rsidRPr="00FF5C35" w14:paraId="5408E330" w14:textId="77777777" w:rsidTr="00591D90">
        <w:trPr>
          <w:trHeight w:val="401"/>
        </w:trPr>
        <w:tc>
          <w:tcPr>
            <w:tcW w:w="0" w:type="auto"/>
            <w:tcBorders>
              <w:top w:val="single" w:sz="2" w:space="0" w:color="000000"/>
              <w:left w:val="single" w:sz="2" w:space="0" w:color="000000"/>
              <w:bottom w:val="single" w:sz="2" w:space="0" w:color="000000"/>
              <w:right w:val="single" w:sz="2" w:space="0" w:color="000000"/>
            </w:tcBorders>
            <w:shd w:val="clear" w:color="auto" w:fill="D9D9D9"/>
            <w:vAlign w:val="center"/>
            <w:hideMark/>
          </w:tcPr>
          <w:p w14:paraId="75D8B270" w14:textId="19DE3EBF" w:rsidR="00B5173F" w:rsidRPr="00FF5C35" w:rsidRDefault="00484D61"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b/>
                <w:bCs/>
                <w:sz w:val="20"/>
                <w:szCs w:val="20"/>
                <w:lang w:eastAsia="es-ES_tradnl"/>
              </w:rPr>
              <w:t>Descripción</w:t>
            </w:r>
            <w:r w:rsidR="00B5173F" w:rsidRPr="00FF5C35">
              <w:rPr>
                <w:rFonts w:ascii="Arial" w:eastAsia="Times New Roman" w:hAnsi="Arial" w:cs="Arial"/>
                <w:b/>
                <w:bCs/>
                <w:sz w:val="20"/>
                <w:szCs w:val="20"/>
                <w:lang w:eastAsia="es-ES_tradnl"/>
              </w:rPr>
              <w:t xml:space="preserve"> de la </w:t>
            </w:r>
            <w:r w:rsidRPr="00FF5C35">
              <w:rPr>
                <w:rFonts w:ascii="Arial" w:eastAsia="Times New Roman" w:hAnsi="Arial" w:cs="Arial"/>
                <w:b/>
                <w:bCs/>
                <w:sz w:val="20"/>
                <w:szCs w:val="20"/>
                <w:lang w:eastAsia="es-ES_tradnl"/>
              </w:rPr>
              <w:t>Obligación</w:t>
            </w:r>
          </w:p>
        </w:tc>
        <w:tc>
          <w:tcPr>
            <w:tcW w:w="0" w:type="auto"/>
            <w:tcBorders>
              <w:top w:val="single" w:sz="2" w:space="0" w:color="000000"/>
              <w:left w:val="single" w:sz="2" w:space="0" w:color="000000"/>
              <w:bottom w:val="single" w:sz="2" w:space="0" w:color="000000"/>
              <w:right w:val="single" w:sz="2" w:space="0" w:color="000000"/>
            </w:tcBorders>
            <w:shd w:val="clear" w:color="auto" w:fill="D9D9D9"/>
            <w:vAlign w:val="center"/>
            <w:hideMark/>
          </w:tcPr>
          <w:p w14:paraId="15426435" w14:textId="0CE6CC9D" w:rsidR="00B5173F" w:rsidRPr="00FF5C35" w:rsidRDefault="00760884"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b/>
                <w:bCs/>
                <w:sz w:val="20"/>
                <w:szCs w:val="20"/>
                <w:lang w:eastAsia="es-ES_tradnl"/>
              </w:rPr>
              <w:t>Descripción</w:t>
            </w:r>
            <w:r w:rsidR="00B5173F" w:rsidRPr="00FF5C35">
              <w:rPr>
                <w:rFonts w:ascii="Arial" w:eastAsia="Times New Roman" w:hAnsi="Arial" w:cs="Arial"/>
                <w:b/>
                <w:bCs/>
                <w:sz w:val="20"/>
                <w:szCs w:val="20"/>
                <w:lang w:eastAsia="es-ES_tradnl"/>
              </w:rPr>
              <w:t xml:space="preserve"> Vencimiento</w:t>
            </w:r>
          </w:p>
        </w:tc>
        <w:tc>
          <w:tcPr>
            <w:tcW w:w="0" w:type="auto"/>
            <w:tcBorders>
              <w:top w:val="single" w:sz="2" w:space="0" w:color="000000"/>
              <w:left w:val="single" w:sz="2" w:space="0" w:color="000000"/>
              <w:bottom w:val="single" w:sz="2" w:space="0" w:color="000000"/>
              <w:right w:val="single" w:sz="2" w:space="0" w:color="000000"/>
            </w:tcBorders>
            <w:shd w:val="clear" w:color="auto" w:fill="D9D9D9"/>
            <w:vAlign w:val="center"/>
            <w:hideMark/>
          </w:tcPr>
          <w:p w14:paraId="2F0AFFED"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b/>
                <w:bCs/>
                <w:sz w:val="20"/>
                <w:szCs w:val="20"/>
                <w:lang w:eastAsia="es-ES_tradnl"/>
              </w:rPr>
              <w:t>Fecha Inicio</w:t>
            </w:r>
          </w:p>
        </w:tc>
      </w:tr>
      <w:tr w:rsidR="00B5173F" w:rsidRPr="00FF5C35" w14:paraId="29A0A525" w14:textId="77777777" w:rsidTr="00591D90">
        <w:trPr>
          <w:trHeight w:val="313"/>
        </w:trPr>
        <w:tc>
          <w:tcPr>
            <w:tcW w:w="0" w:type="auto"/>
            <w:tcBorders>
              <w:top w:val="single" w:sz="2" w:space="0" w:color="000000"/>
              <w:left w:val="single" w:sz="2" w:space="0" w:color="000000"/>
              <w:bottom w:val="single" w:sz="2" w:space="0" w:color="000000"/>
              <w:right w:val="single" w:sz="2" w:space="0" w:color="000000"/>
            </w:tcBorders>
            <w:vAlign w:val="center"/>
            <w:hideMark/>
          </w:tcPr>
          <w:p w14:paraId="74009C33" w14:textId="40D525A1" w:rsidR="00B5173F" w:rsidRPr="00FF5C35" w:rsidRDefault="00484D61"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Declaración</w:t>
            </w:r>
            <w:r w:rsidR="00B5173F" w:rsidRPr="00FF5C35">
              <w:rPr>
                <w:rFonts w:ascii="Arial" w:eastAsia="Times New Roman" w:hAnsi="Arial" w:cs="Arial"/>
                <w:sz w:val="16"/>
                <w:szCs w:val="16"/>
                <w:lang w:eastAsia="es-ES_tradnl"/>
              </w:rPr>
              <w:t xml:space="preserve"> informativa anual de retenciones de ISR por arrendamiento de inmuebles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67542B8" w14:textId="2E9992EB"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A </w:t>
            </w:r>
            <w:r w:rsidR="00760884" w:rsidRPr="00FF5C35">
              <w:rPr>
                <w:rFonts w:ascii="Arial" w:eastAsia="Times New Roman" w:hAnsi="Arial" w:cs="Arial"/>
                <w:sz w:val="16"/>
                <w:szCs w:val="16"/>
                <w:lang w:eastAsia="es-ES_tradnl"/>
              </w:rPr>
              <w:t>más</w:t>
            </w:r>
            <w:r w:rsidRPr="00FF5C35">
              <w:rPr>
                <w:rFonts w:ascii="Arial" w:eastAsia="Times New Roman" w:hAnsi="Arial" w:cs="Arial"/>
                <w:sz w:val="16"/>
                <w:szCs w:val="16"/>
                <w:lang w:eastAsia="es-ES_tradnl"/>
              </w:rPr>
              <w:t xml:space="preserve"> tardar el 15 de febrero del </w:t>
            </w:r>
            <w:r w:rsidR="00760884" w:rsidRPr="00FF5C35">
              <w:rPr>
                <w:rFonts w:ascii="Arial" w:eastAsia="Times New Roman" w:hAnsi="Arial" w:cs="Arial"/>
                <w:sz w:val="16"/>
                <w:szCs w:val="16"/>
                <w:lang w:eastAsia="es-ES_tradnl"/>
              </w:rPr>
              <w:t>año</w:t>
            </w:r>
            <w:r w:rsidRPr="00FF5C35">
              <w:rPr>
                <w:rFonts w:ascii="Arial" w:eastAsia="Times New Roman" w:hAnsi="Arial" w:cs="Arial"/>
                <w:sz w:val="16"/>
                <w:szCs w:val="16"/>
                <w:lang w:eastAsia="es-ES_tradnl"/>
              </w:rPr>
              <w:t xml:space="preserve"> siguiente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B8D5FC9"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31/03/2002</w:t>
            </w:r>
          </w:p>
        </w:tc>
      </w:tr>
      <w:tr w:rsidR="00B5173F" w:rsidRPr="00FF5C35" w14:paraId="02771E09" w14:textId="77777777" w:rsidTr="00591D90">
        <w:trPr>
          <w:trHeight w:val="323"/>
        </w:trPr>
        <w:tc>
          <w:tcPr>
            <w:tcW w:w="0" w:type="auto"/>
            <w:tcBorders>
              <w:top w:val="single" w:sz="2" w:space="0" w:color="000000"/>
              <w:left w:val="single" w:sz="2" w:space="0" w:color="000000"/>
              <w:bottom w:val="single" w:sz="2" w:space="0" w:color="000000"/>
              <w:right w:val="single" w:sz="2" w:space="0" w:color="000000"/>
            </w:tcBorders>
            <w:vAlign w:val="center"/>
            <w:hideMark/>
          </w:tcPr>
          <w:p w14:paraId="12EC517D" w14:textId="539FC391"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Entero de </w:t>
            </w:r>
            <w:r w:rsidR="00484D61" w:rsidRPr="00FF5C35">
              <w:rPr>
                <w:rFonts w:ascii="Arial" w:eastAsia="Times New Roman" w:hAnsi="Arial" w:cs="Arial"/>
                <w:sz w:val="16"/>
                <w:szCs w:val="16"/>
                <w:lang w:eastAsia="es-ES_tradnl"/>
              </w:rPr>
              <w:t>retención</w:t>
            </w:r>
            <w:r w:rsidRPr="00FF5C35">
              <w:rPr>
                <w:rFonts w:ascii="Arial" w:eastAsia="Times New Roman" w:hAnsi="Arial" w:cs="Arial"/>
                <w:sz w:val="16"/>
                <w:szCs w:val="16"/>
                <w:lang w:eastAsia="es-ES_tradnl"/>
              </w:rPr>
              <w:t xml:space="preserve"> de ISR por servicios profesionales. MENSUAL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0EFEE21C" w14:textId="7FF6803F"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A </w:t>
            </w:r>
            <w:r w:rsidR="00760884" w:rsidRPr="00FF5C35">
              <w:rPr>
                <w:rFonts w:ascii="Arial" w:eastAsia="Times New Roman" w:hAnsi="Arial" w:cs="Arial"/>
                <w:sz w:val="16"/>
                <w:szCs w:val="16"/>
                <w:lang w:eastAsia="es-ES_tradnl"/>
              </w:rPr>
              <w:t>más</w:t>
            </w:r>
            <w:r w:rsidRPr="00FF5C35">
              <w:rPr>
                <w:rFonts w:ascii="Arial" w:eastAsia="Times New Roman" w:hAnsi="Arial" w:cs="Arial"/>
                <w:sz w:val="16"/>
                <w:szCs w:val="16"/>
                <w:lang w:eastAsia="es-ES_tradnl"/>
              </w:rPr>
              <w:t xml:space="preserve"> tardar el </w:t>
            </w:r>
            <w:r w:rsidR="00760884" w:rsidRPr="00FF5C35">
              <w:rPr>
                <w:rFonts w:ascii="Arial" w:eastAsia="Times New Roman" w:hAnsi="Arial" w:cs="Arial"/>
                <w:sz w:val="16"/>
                <w:szCs w:val="16"/>
                <w:lang w:eastAsia="es-ES_tradnl"/>
              </w:rPr>
              <w:t>día</w:t>
            </w:r>
            <w:r w:rsidRPr="00FF5C35">
              <w:rPr>
                <w:rFonts w:ascii="Arial" w:eastAsia="Times New Roman" w:hAnsi="Arial" w:cs="Arial"/>
                <w:sz w:val="16"/>
                <w:szCs w:val="16"/>
                <w:lang w:eastAsia="es-ES_tradnl"/>
              </w:rPr>
              <w:t xml:space="preserve"> 17 del mes inmediato posterior al periodo que corresponda.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334FA67"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31/03/2002</w:t>
            </w:r>
          </w:p>
        </w:tc>
      </w:tr>
      <w:tr w:rsidR="00B5173F" w:rsidRPr="00FF5C35" w14:paraId="417AB688" w14:textId="77777777" w:rsidTr="00591D90">
        <w:trPr>
          <w:trHeight w:val="479"/>
        </w:trPr>
        <w:tc>
          <w:tcPr>
            <w:tcW w:w="0" w:type="auto"/>
            <w:tcBorders>
              <w:top w:val="single" w:sz="2" w:space="0" w:color="000000"/>
              <w:left w:val="single" w:sz="2" w:space="0" w:color="000000"/>
              <w:bottom w:val="single" w:sz="2" w:space="0" w:color="000000"/>
              <w:right w:val="single" w:sz="2" w:space="0" w:color="000000"/>
            </w:tcBorders>
            <w:vAlign w:val="center"/>
            <w:hideMark/>
          </w:tcPr>
          <w:p w14:paraId="2EC7DFDD" w14:textId="77777777"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Entero mensual de retenciones de ISR de ingresos por arrendamiento.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4E3FBA7" w14:textId="43737B4B"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Conjuntamente con la </w:t>
            </w:r>
            <w:r w:rsidR="00760884" w:rsidRPr="00FF5C35">
              <w:rPr>
                <w:rFonts w:ascii="Arial" w:eastAsia="Times New Roman" w:hAnsi="Arial" w:cs="Arial"/>
                <w:sz w:val="16"/>
                <w:szCs w:val="16"/>
                <w:lang w:eastAsia="es-ES_tradnl"/>
              </w:rPr>
              <w:t>retención</w:t>
            </w:r>
            <w:r w:rsidRPr="00FF5C35">
              <w:rPr>
                <w:rFonts w:ascii="Arial" w:eastAsia="Times New Roman" w:hAnsi="Arial" w:cs="Arial"/>
                <w:sz w:val="16"/>
                <w:szCs w:val="16"/>
                <w:lang w:eastAsia="es-ES_tradnl"/>
              </w:rPr>
              <w:t xml:space="preserve"> por salarios o asimilados a salarios (17 de cada mes en su defecto)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793A0264"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31/03/2002</w:t>
            </w:r>
          </w:p>
        </w:tc>
      </w:tr>
      <w:tr w:rsidR="00B5173F" w:rsidRPr="00FF5C35" w14:paraId="4D405BEE" w14:textId="77777777" w:rsidTr="00591D90">
        <w:trPr>
          <w:trHeight w:val="479"/>
        </w:trPr>
        <w:tc>
          <w:tcPr>
            <w:tcW w:w="0" w:type="auto"/>
            <w:tcBorders>
              <w:top w:val="single" w:sz="2" w:space="0" w:color="000000"/>
              <w:left w:val="single" w:sz="2" w:space="0" w:color="000000"/>
              <w:bottom w:val="single" w:sz="2" w:space="0" w:color="000000"/>
              <w:right w:val="single" w:sz="2" w:space="0" w:color="000000"/>
            </w:tcBorders>
            <w:vAlign w:val="center"/>
            <w:hideMark/>
          </w:tcPr>
          <w:p w14:paraId="1BB95128" w14:textId="30F2B9EB" w:rsidR="00B5173F" w:rsidRPr="00FF5C35" w:rsidRDefault="00484D61"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Declaración</w:t>
            </w:r>
            <w:r w:rsidR="00B5173F" w:rsidRPr="00FF5C35">
              <w:rPr>
                <w:rFonts w:ascii="Arial" w:eastAsia="Times New Roman" w:hAnsi="Arial" w:cs="Arial"/>
                <w:sz w:val="16"/>
                <w:szCs w:val="16"/>
                <w:lang w:eastAsia="es-ES_tradnl"/>
              </w:rPr>
              <w:t xml:space="preserve"> informativa anual de pagos y retenciones de servicios profesionales. Personas Morales. Impuesto Sobre la Renta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F6B2587" w14:textId="08640BE9"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A </w:t>
            </w:r>
            <w:r w:rsidR="00760884" w:rsidRPr="00FF5C35">
              <w:rPr>
                <w:rFonts w:ascii="Arial" w:eastAsia="Times New Roman" w:hAnsi="Arial" w:cs="Arial"/>
                <w:sz w:val="16"/>
                <w:szCs w:val="16"/>
                <w:lang w:eastAsia="es-ES_tradnl"/>
              </w:rPr>
              <w:t>más</w:t>
            </w:r>
            <w:r w:rsidRPr="00FF5C35">
              <w:rPr>
                <w:rFonts w:ascii="Arial" w:eastAsia="Times New Roman" w:hAnsi="Arial" w:cs="Arial"/>
                <w:sz w:val="16"/>
                <w:szCs w:val="16"/>
                <w:lang w:eastAsia="es-ES_tradnl"/>
              </w:rPr>
              <w:t xml:space="preserve"> tardar el 15 de febrero del </w:t>
            </w:r>
            <w:r w:rsidR="00760884" w:rsidRPr="00FF5C35">
              <w:rPr>
                <w:rFonts w:ascii="Arial" w:eastAsia="Times New Roman" w:hAnsi="Arial" w:cs="Arial"/>
                <w:sz w:val="16"/>
                <w:szCs w:val="16"/>
                <w:lang w:eastAsia="es-ES_tradnl"/>
              </w:rPr>
              <w:t>año</w:t>
            </w:r>
            <w:r w:rsidRPr="00FF5C35">
              <w:rPr>
                <w:rFonts w:ascii="Arial" w:eastAsia="Times New Roman" w:hAnsi="Arial" w:cs="Arial"/>
                <w:sz w:val="16"/>
                <w:szCs w:val="16"/>
                <w:lang w:eastAsia="es-ES_tradnl"/>
              </w:rPr>
              <w:t xml:space="preserve"> siguiente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C8B7626"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31/03/2002</w:t>
            </w:r>
          </w:p>
        </w:tc>
      </w:tr>
      <w:tr w:rsidR="00B5173F" w:rsidRPr="00FF5C35" w14:paraId="5E91FCE1" w14:textId="77777777" w:rsidTr="00591D90">
        <w:trPr>
          <w:trHeight w:val="313"/>
        </w:trPr>
        <w:tc>
          <w:tcPr>
            <w:tcW w:w="0" w:type="auto"/>
            <w:tcBorders>
              <w:top w:val="single" w:sz="2" w:space="0" w:color="000000"/>
              <w:left w:val="single" w:sz="2" w:space="0" w:color="000000"/>
              <w:bottom w:val="single" w:sz="2" w:space="0" w:color="000000"/>
              <w:right w:val="single" w:sz="2" w:space="0" w:color="000000"/>
            </w:tcBorders>
            <w:vAlign w:val="center"/>
            <w:hideMark/>
          </w:tcPr>
          <w:p w14:paraId="3913A848" w14:textId="77777777"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Entero de retenciones mensuales de ISR por sueldos y salarios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22B9E6F" w14:textId="74E5EAA4"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A </w:t>
            </w:r>
            <w:r w:rsidR="00760884" w:rsidRPr="00FF5C35">
              <w:rPr>
                <w:rFonts w:ascii="Arial" w:eastAsia="Times New Roman" w:hAnsi="Arial" w:cs="Arial"/>
                <w:sz w:val="16"/>
                <w:szCs w:val="16"/>
                <w:lang w:eastAsia="es-ES_tradnl"/>
              </w:rPr>
              <w:t>más</w:t>
            </w:r>
            <w:r w:rsidRPr="00FF5C35">
              <w:rPr>
                <w:rFonts w:ascii="Arial" w:eastAsia="Times New Roman" w:hAnsi="Arial" w:cs="Arial"/>
                <w:sz w:val="16"/>
                <w:szCs w:val="16"/>
                <w:lang w:eastAsia="es-ES_tradnl"/>
              </w:rPr>
              <w:t xml:space="preserve"> tardar el </w:t>
            </w:r>
            <w:r w:rsidR="00760884" w:rsidRPr="00FF5C35">
              <w:rPr>
                <w:rFonts w:ascii="Arial" w:eastAsia="Times New Roman" w:hAnsi="Arial" w:cs="Arial"/>
                <w:sz w:val="16"/>
                <w:szCs w:val="16"/>
                <w:lang w:eastAsia="es-ES_tradnl"/>
              </w:rPr>
              <w:t>día</w:t>
            </w:r>
            <w:r w:rsidRPr="00FF5C35">
              <w:rPr>
                <w:rFonts w:ascii="Arial" w:eastAsia="Times New Roman" w:hAnsi="Arial" w:cs="Arial"/>
                <w:sz w:val="16"/>
                <w:szCs w:val="16"/>
                <w:lang w:eastAsia="es-ES_tradnl"/>
              </w:rPr>
              <w:t xml:space="preserve"> 17 del mes inmediato posterior al periodo que corresponda.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E69DEB8"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31/03/2002</w:t>
            </w:r>
          </w:p>
        </w:tc>
      </w:tr>
      <w:tr w:rsidR="00B5173F" w:rsidRPr="00FF5C35" w14:paraId="27A52845" w14:textId="77777777" w:rsidTr="00591D90">
        <w:trPr>
          <w:trHeight w:val="323"/>
        </w:trPr>
        <w:tc>
          <w:tcPr>
            <w:tcW w:w="0" w:type="auto"/>
            <w:tcBorders>
              <w:top w:val="single" w:sz="2" w:space="0" w:color="000000"/>
              <w:left w:val="single" w:sz="2" w:space="0" w:color="000000"/>
              <w:bottom w:val="single" w:sz="2" w:space="0" w:color="000000"/>
              <w:right w:val="single" w:sz="2" w:space="0" w:color="000000"/>
            </w:tcBorders>
            <w:vAlign w:val="center"/>
            <w:hideMark/>
          </w:tcPr>
          <w:p w14:paraId="219F1AE2" w14:textId="77777777"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Entero de retenciones mensuales de ISR por ingresos asimilados a salarios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FD70D17" w14:textId="696E066C"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A </w:t>
            </w:r>
            <w:r w:rsidR="00760884" w:rsidRPr="00FF5C35">
              <w:rPr>
                <w:rFonts w:ascii="Arial" w:eastAsia="Times New Roman" w:hAnsi="Arial" w:cs="Arial"/>
                <w:sz w:val="16"/>
                <w:szCs w:val="16"/>
                <w:lang w:eastAsia="es-ES_tradnl"/>
              </w:rPr>
              <w:t>más</w:t>
            </w:r>
            <w:r w:rsidRPr="00FF5C35">
              <w:rPr>
                <w:rFonts w:ascii="Arial" w:eastAsia="Times New Roman" w:hAnsi="Arial" w:cs="Arial"/>
                <w:sz w:val="16"/>
                <w:szCs w:val="16"/>
                <w:lang w:eastAsia="es-ES_tradnl"/>
              </w:rPr>
              <w:t xml:space="preserve"> tardar el </w:t>
            </w:r>
            <w:r w:rsidR="00760884" w:rsidRPr="00FF5C35">
              <w:rPr>
                <w:rFonts w:ascii="Arial" w:eastAsia="Times New Roman" w:hAnsi="Arial" w:cs="Arial"/>
                <w:sz w:val="16"/>
                <w:szCs w:val="16"/>
                <w:lang w:eastAsia="es-ES_tradnl"/>
              </w:rPr>
              <w:t>día</w:t>
            </w:r>
            <w:r w:rsidRPr="00FF5C35">
              <w:rPr>
                <w:rFonts w:ascii="Arial" w:eastAsia="Times New Roman" w:hAnsi="Arial" w:cs="Arial"/>
                <w:sz w:val="16"/>
                <w:szCs w:val="16"/>
                <w:lang w:eastAsia="es-ES_tradnl"/>
              </w:rPr>
              <w:t xml:space="preserve"> 17 del mes inmediato posterior al periodo que corresponda.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281E2604"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01/07/2002</w:t>
            </w:r>
          </w:p>
        </w:tc>
      </w:tr>
      <w:tr w:rsidR="00B5173F" w:rsidRPr="00FF5C35" w14:paraId="2C8ACCAF" w14:textId="77777777" w:rsidTr="00591D90">
        <w:trPr>
          <w:trHeight w:val="313"/>
        </w:trPr>
        <w:tc>
          <w:tcPr>
            <w:tcW w:w="0" w:type="auto"/>
            <w:tcBorders>
              <w:top w:val="single" w:sz="2" w:space="0" w:color="000000"/>
              <w:left w:val="single" w:sz="2" w:space="0" w:color="000000"/>
              <w:bottom w:val="single" w:sz="2" w:space="0" w:color="000000"/>
              <w:right w:val="single" w:sz="2" w:space="0" w:color="000000"/>
            </w:tcBorders>
            <w:vAlign w:val="center"/>
            <w:hideMark/>
          </w:tcPr>
          <w:p w14:paraId="0606971E" w14:textId="77777777"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Entero de retenciones de IVA Mensual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5E00847" w14:textId="0BD4A703"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A </w:t>
            </w:r>
            <w:r w:rsidR="00760884" w:rsidRPr="00FF5C35">
              <w:rPr>
                <w:rFonts w:ascii="Arial" w:eastAsia="Times New Roman" w:hAnsi="Arial" w:cs="Arial"/>
                <w:sz w:val="16"/>
                <w:szCs w:val="16"/>
                <w:lang w:eastAsia="es-ES_tradnl"/>
              </w:rPr>
              <w:t>más</w:t>
            </w:r>
            <w:r w:rsidRPr="00FF5C35">
              <w:rPr>
                <w:rFonts w:ascii="Arial" w:eastAsia="Times New Roman" w:hAnsi="Arial" w:cs="Arial"/>
                <w:sz w:val="16"/>
                <w:szCs w:val="16"/>
                <w:lang w:eastAsia="es-ES_tradnl"/>
              </w:rPr>
              <w:t xml:space="preserve"> tardar el </w:t>
            </w:r>
            <w:r w:rsidR="00760884" w:rsidRPr="00FF5C35">
              <w:rPr>
                <w:rFonts w:ascii="Arial" w:eastAsia="Times New Roman" w:hAnsi="Arial" w:cs="Arial"/>
                <w:sz w:val="16"/>
                <w:szCs w:val="16"/>
                <w:lang w:eastAsia="es-ES_tradnl"/>
              </w:rPr>
              <w:t>día</w:t>
            </w:r>
            <w:r w:rsidRPr="00FF5C35">
              <w:rPr>
                <w:rFonts w:ascii="Arial" w:eastAsia="Times New Roman" w:hAnsi="Arial" w:cs="Arial"/>
                <w:sz w:val="16"/>
                <w:szCs w:val="16"/>
                <w:lang w:eastAsia="es-ES_tradnl"/>
              </w:rPr>
              <w:t xml:space="preserve"> 17 del mes inmediato posterior al periodo que corresponda.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3EAA7657"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27/04/2006</w:t>
            </w:r>
          </w:p>
        </w:tc>
      </w:tr>
      <w:tr w:rsidR="00B5173F" w:rsidRPr="00FF5C35" w14:paraId="4AEF4C44" w14:textId="77777777" w:rsidTr="00591D90">
        <w:trPr>
          <w:trHeight w:val="323"/>
        </w:trPr>
        <w:tc>
          <w:tcPr>
            <w:tcW w:w="0" w:type="auto"/>
            <w:tcBorders>
              <w:top w:val="single" w:sz="2" w:space="0" w:color="000000"/>
              <w:left w:val="single" w:sz="2" w:space="0" w:color="000000"/>
              <w:bottom w:val="single" w:sz="2" w:space="0" w:color="000000"/>
              <w:right w:val="single" w:sz="2" w:space="0" w:color="000000"/>
            </w:tcBorders>
            <w:vAlign w:val="center"/>
            <w:hideMark/>
          </w:tcPr>
          <w:p w14:paraId="63DB30AF" w14:textId="2A851EF6" w:rsidR="00B5173F" w:rsidRPr="00FF5C35" w:rsidRDefault="00760884"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Declaración</w:t>
            </w:r>
            <w:r w:rsidR="00B5173F" w:rsidRPr="00FF5C35">
              <w:rPr>
                <w:rFonts w:ascii="Arial" w:eastAsia="Times New Roman" w:hAnsi="Arial" w:cs="Arial"/>
                <w:sz w:val="16"/>
                <w:szCs w:val="16"/>
                <w:lang w:eastAsia="es-ES_tradnl"/>
              </w:rPr>
              <w:t xml:space="preserve"> Informativa mensual de Proveedores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6AE7A4FB" w14:textId="2A8D48D1"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 xml:space="preserve">El </w:t>
            </w:r>
            <w:r w:rsidR="00760884" w:rsidRPr="00FF5C35">
              <w:rPr>
                <w:rFonts w:ascii="Arial" w:eastAsia="Times New Roman" w:hAnsi="Arial" w:cs="Arial"/>
                <w:sz w:val="16"/>
                <w:szCs w:val="16"/>
                <w:lang w:eastAsia="es-ES_tradnl"/>
              </w:rPr>
              <w:t>día</w:t>
            </w:r>
            <w:r w:rsidRPr="00FF5C35">
              <w:rPr>
                <w:rFonts w:ascii="Arial" w:eastAsia="Times New Roman" w:hAnsi="Arial" w:cs="Arial"/>
                <w:sz w:val="16"/>
                <w:szCs w:val="16"/>
                <w:lang w:eastAsia="es-ES_tradnl"/>
              </w:rPr>
              <w:t xml:space="preserve"> 17 del mes siguiente a </w:t>
            </w:r>
            <w:r w:rsidR="00760884" w:rsidRPr="00FF5C35">
              <w:rPr>
                <w:rFonts w:ascii="Arial" w:eastAsia="Times New Roman" w:hAnsi="Arial" w:cs="Arial"/>
                <w:sz w:val="16"/>
                <w:szCs w:val="16"/>
                <w:lang w:eastAsia="es-ES_tradnl"/>
              </w:rPr>
              <w:t>aquél</w:t>
            </w:r>
            <w:r w:rsidRPr="00FF5C35">
              <w:rPr>
                <w:rFonts w:ascii="Arial" w:eastAsia="Times New Roman" w:hAnsi="Arial" w:cs="Arial"/>
                <w:sz w:val="16"/>
                <w:szCs w:val="16"/>
                <w:lang w:eastAsia="es-ES_tradnl"/>
              </w:rPr>
              <w:t xml:space="preserve"> al que corresponda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53B1113E" w14:textId="77777777" w:rsidR="00B5173F" w:rsidRPr="00FF5C35" w:rsidRDefault="00B5173F" w:rsidP="00591D90">
            <w:pPr>
              <w:spacing w:before="100" w:beforeAutospacing="1" w:after="100" w:afterAutospacing="1" w:line="240" w:lineRule="auto"/>
              <w:jc w:val="center"/>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01/01/2008</w:t>
            </w:r>
          </w:p>
        </w:tc>
      </w:tr>
      <w:tr w:rsidR="00B5173F" w:rsidRPr="00FF5C35" w14:paraId="66D8F188" w14:textId="77777777" w:rsidTr="00591D90">
        <w:trPr>
          <w:trHeight w:val="470"/>
        </w:trPr>
        <w:tc>
          <w:tcPr>
            <w:tcW w:w="0" w:type="auto"/>
            <w:tcBorders>
              <w:top w:val="single" w:sz="2" w:space="0" w:color="000000"/>
              <w:left w:val="single" w:sz="2" w:space="0" w:color="000000"/>
              <w:bottom w:val="single" w:sz="2" w:space="0" w:color="000000"/>
              <w:right w:val="single" w:sz="2" w:space="0" w:color="000000"/>
            </w:tcBorders>
            <w:vAlign w:val="center"/>
            <w:hideMark/>
          </w:tcPr>
          <w:p w14:paraId="594DB740" w14:textId="1FB8FC83" w:rsidR="00B5173F" w:rsidRPr="00FF5C35" w:rsidRDefault="00760884"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ES_tradnl"/>
              </w:rPr>
              <w:t>Declaración</w:t>
            </w:r>
            <w:r w:rsidR="00B5173F" w:rsidRPr="00FF5C35">
              <w:rPr>
                <w:rFonts w:ascii="Arial" w:eastAsia="Times New Roman" w:hAnsi="Arial" w:cs="Arial"/>
                <w:sz w:val="16"/>
                <w:szCs w:val="16"/>
                <w:lang w:eastAsia="es-ES_tradnl"/>
              </w:rPr>
              <w:t xml:space="preserve"> Informativa de las Entidades Federativas por la </w:t>
            </w:r>
            <w:r w:rsidRPr="00FF5C35">
              <w:rPr>
                <w:rFonts w:ascii="Arial" w:eastAsia="Times New Roman" w:hAnsi="Arial" w:cs="Arial"/>
                <w:sz w:val="16"/>
                <w:szCs w:val="16"/>
                <w:lang w:eastAsia="es-ES_tradnl"/>
              </w:rPr>
              <w:t>recaudación</w:t>
            </w:r>
            <w:r w:rsidR="00B5173F" w:rsidRPr="00FF5C35">
              <w:rPr>
                <w:rFonts w:ascii="Arial" w:eastAsia="Times New Roman" w:hAnsi="Arial" w:cs="Arial"/>
                <w:sz w:val="16"/>
                <w:szCs w:val="16"/>
                <w:lang w:eastAsia="es-ES_tradnl"/>
              </w:rPr>
              <w:t xml:space="preserve"> de IEPS por venta final de gasolinas y </w:t>
            </w:r>
            <w:r w:rsidRPr="00FF5C35">
              <w:rPr>
                <w:rFonts w:ascii="Arial" w:eastAsia="Times New Roman" w:hAnsi="Arial" w:cs="Arial"/>
                <w:sz w:val="16"/>
                <w:szCs w:val="16"/>
                <w:lang w:eastAsia="es-ES_tradnl"/>
              </w:rPr>
              <w:t>diésel</w:t>
            </w:r>
            <w:r w:rsidR="00B5173F" w:rsidRPr="00FF5C35">
              <w:rPr>
                <w:rFonts w:ascii="Arial" w:eastAsia="Times New Roman" w:hAnsi="Arial" w:cs="Arial"/>
                <w:sz w:val="16"/>
                <w:szCs w:val="16"/>
                <w:lang w:eastAsia="es-ES_tradnl"/>
              </w:rPr>
              <w:t xml:space="preserve">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157BF755" w14:textId="753AB411"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MX"/>
              </w:rPr>
              <w:t xml:space="preserve">Dentro de los primeros 10 </w:t>
            </w:r>
            <w:r w:rsidR="00760884" w:rsidRPr="00FF5C35">
              <w:rPr>
                <w:rFonts w:ascii="Arial" w:eastAsia="Times New Roman" w:hAnsi="Arial" w:cs="Arial"/>
                <w:sz w:val="16"/>
                <w:szCs w:val="16"/>
                <w:lang w:eastAsia="es-MX"/>
              </w:rPr>
              <w:t>días</w:t>
            </w:r>
            <w:r w:rsidRPr="00FF5C35">
              <w:rPr>
                <w:rFonts w:ascii="Arial" w:eastAsia="Times New Roman" w:hAnsi="Arial" w:cs="Arial"/>
                <w:sz w:val="16"/>
                <w:szCs w:val="16"/>
                <w:lang w:eastAsia="es-MX"/>
              </w:rPr>
              <w:t xml:space="preserve"> del octavo mes. </w:t>
            </w:r>
          </w:p>
        </w:tc>
        <w:tc>
          <w:tcPr>
            <w:tcW w:w="0" w:type="auto"/>
            <w:tcBorders>
              <w:top w:val="single" w:sz="2" w:space="0" w:color="000000"/>
              <w:left w:val="single" w:sz="2" w:space="0" w:color="000000"/>
              <w:bottom w:val="single" w:sz="2" w:space="0" w:color="000000"/>
              <w:right w:val="single" w:sz="2" w:space="0" w:color="000000"/>
            </w:tcBorders>
            <w:vAlign w:val="center"/>
            <w:hideMark/>
          </w:tcPr>
          <w:p w14:paraId="4FCC2CA1" w14:textId="77777777" w:rsidR="00B5173F" w:rsidRPr="00FF5C35" w:rsidRDefault="00B5173F" w:rsidP="00591D90">
            <w:pPr>
              <w:spacing w:before="100" w:beforeAutospacing="1" w:after="100" w:afterAutospacing="1" w:line="240" w:lineRule="auto"/>
              <w:rPr>
                <w:rFonts w:ascii="Arial" w:eastAsia="Times New Roman" w:hAnsi="Arial" w:cs="Arial"/>
                <w:sz w:val="24"/>
                <w:szCs w:val="24"/>
                <w:lang w:eastAsia="es-ES_tradnl"/>
              </w:rPr>
            </w:pPr>
            <w:r w:rsidRPr="00FF5C35">
              <w:rPr>
                <w:rFonts w:ascii="Arial" w:eastAsia="Times New Roman" w:hAnsi="Arial" w:cs="Arial"/>
                <w:sz w:val="16"/>
                <w:szCs w:val="16"/>
                <w:lang w:eastAsia="es-MX"/>
              </w:rPr>
              <w:t xml:space="preserve">01/07/2008 </w:t>
            </w:r>
          </w:p>
        </w:tc>
      </w:tr>
    </w:tbl>
    <w:p w14:paraId="794C4CAD" w14:textId="77777777" w:rsidR="003B3A3A" w:rsidRDefault="003B3A3A" w:rsidP="003B3A3A">
      <w:pPr>
        <w:spacing w:after="0" w:line="360" w:lineRule="auto"/>
        <w:jc w:val="both"/>
        <w:rPr>
          <w:rFonts w:ascii="Arial" w:eastAsia="Calibri" w:hAnsi="Arial" w:cs="Arial"/>
          <w:sz w:val="24"/>
          <w:szCs w:val="24"/>
        </w:rPr>
      </w:pPr>
    </w:p>
    <w:p w14:paraId="2BB6CE77" w14:textId="16A6534C" w:rsidR="00B5173F" w:rsidRDefault="00B5173F" w:rsidP="00B5173F">
      <w:pPr>
        <w:numPr>
          <w:ilvl w:val="0"/>
          <w:numId w:val="12"/>
        </w:numPr>
        <w:spacing w:after="0" w:line="360" w:lineRule="auto"/>
        <w:jc w:val="both"/>
        <w:rPr>
          <w:rFonts w:ascii="Arial" w:eastAsia="Calibri" w:hAnsi="Arial" w:cs="Arial"/>
          <w:sz w:val="24"/>
          <w:szCs w:val="24"/>
        </w:rPr>
      </w:pPr>
      <w:r w:rsidRPr="00FF5C35">
        <w:rPr>
          <w:rFonts w:ascii="Arial" w:eastAsia="Calibri" w:hAnsi="Arial" w:cs="Arial"/>
          <w:sz w:val="24"/>
          <w:szCs w:val="24"/>
        </w:rPr>
        <w:t>Estructura organizacional básica.</w:t>
      </w:r>
    </w:p>
    <w:p w14:paraId="05D64D39" w14:textId="77777777" w:rsidR="00484865" w:rsidRPr="00FF5C35" w:rsidRDefault="00484865" w:rsidP="00484865">
      <w:pPr>
        <w:spacing w:after="0" w:line="360" w:lineRule="auto"/>
        <w:ind w:left="1068"/>
        <w:jc w:val="both"/>
        <w:rPr>
          <w:rFonts w:ascii="Arial" w:eastAsia="Calibri" w:hAnsi="Arial" w:cs="Arial"/>
          <w:sz w:val="24"/>
          <w:szCs w:val="24"/>
        </w:rPr>
      </w:pPr>
    </w:p>
    <w:p w14:paraId="1F1B7FD4" w14:textId="66BF9B94" w:rsidR="00B5173F" w:rsidRPr="00FF5C35" w:rsidRDefault="00FD4F86" w:rsidP="00484865">
      <w:pPr>
        <w:spacing w:after="0" w:line="360" w:lineRule="auto"/>
        <w:ind w:left="-397"/>
        <w:jc w:val="both"/>
        <w:rPr>
          <w:rFonts w:ascii="Arial" w:eastAsia="Calibri" w:hAnsi="Arial" w:cs="Arial"/>
          <w:sz w:val="24"/>
          <w:szCs w:val="24"/>
        </w:rPr>
      </w:pPr>
      <w:r>
        <w:rPr>
          <w:rFonts w:ascii="Arial" w:eastAsia="Calibri" w:hAnsi="Arial" w:cs="Arial"/>
          <w:sz w:val="24"/>
          <w:szCs w:val="24"/>
        </w:rPr>
        <w:t xml:space="preserve">El Ejecutivo se integra principalmente por </w:t>
      </w:r>
      <w:r w:rsidR="00B5173F">
        <w:rPr>
          <w:rFonts w:ascii="Arial" w:eastAsia="Calibri" w:hAnsi="Arial" w:cs="Arial"/>
          <w:sz w:val="24"/>
          <w:szCs w:val="24"/>
        </w:rPr>
        <w:t>S</w:t>
      </w:r>
      <w:r w:rsidR="00B5173F" w:rsidRPr="00FF5C35">
        <w:rPr>
          <w:rFonts w:ascii="Arial" w:eastAsia="Calibri" w:hAnsi="Arial" w:cs="Arial"/>
          <w:sz w:val="24"/>
          <w:szCs w:val="24"/>
        </w:rPr>
        <w:t>ecretar</w:t>
      </w:r>
      <w:r w:rsidR="00B5173F">
        <w:rPr>
          <w:rFonts w:ascii="Arial" w:eastAsia="Calibri" w:hAnsi="Arial" w:cs="Arial"/>
          <w:sz w:val="24"/>
          <w:szCs w:val="24"/>
        </w:rPr>
        <w:t>í</w:t>
      </w:r>
      <w:r w:rsidR="00B5173F" w:rsidRPr="00FF5C35">
        <w:rPr>
          <w:rFonts w:ascii="Arial" w:eastAsia="Calibri" w:hAnsi="Arial" w:cs="Arial"/>
          <w:sz w:val="24"/>
          <w:szCs w:val="24"/>
        </w:rPr>
        <w:t>as,</w:t>
      </w:r>
      <w:r w:rsidR="00B5173F">
        <w:rPr>
          <w:rFonts w:ascii="Arial" w:eastAsia="Calibri" w:hAnsi="Arial" w:cs="Arial"/>
          <w:sz w:val="24"/>
          <w:szCs w:val="24"/>
        </w:rPr>
        <w:t xml:space="preserve"> Dependencias y órganos desconcentrados de estas, así como el órgano con autonomía técnica</w:t>
      </w:r>
      <w:r w:rsidR="00B5173F" w:rsidRPr="00FF5C35">
        <w:rPr>
          <w:rFonts w:ascii="Arial" w:eastAsia="Calibri" w:hAnsi="Arial" w:cs="Arial"/>
          <w:sz w:val="24"/>
          <w:szCs w:val="24"/>
        </w:rPr>
        <w:t xml:space="preserve">, de conformidad con el artículo 1 de la Ley Orgánica de la Administración Pública del Estado de Guerrero Número </w:t>
      </w:r>
      <w:r w:rsidR="00B5173F">
        <w:rPr>
          <w:rFonts w:ascii="Arial" w:eastAsia="Calibri" w:hAnsi="Arial" w:cs="Arial"/>
          <w:sz w:val="24"/>
          <w:szCs w:val="24"/>
        </w:rPr>
        <w:t>242</w:t>
      </w:r>
      <w:r w:rsidR="00D55AA0">
        <w:rPr>
          <w:rFonts w:ascii="Arial" w:eastAsia="Calibri" w:hAnsi="Arial" w:cs="Arial"/>
          <w:sz w:val="24"/>
          <w:szCs w:val="24"/>
        </w:rPr>
        <w:t>,</w:t>
      </w:r>
      <w:r w:rsidR="003D2088">
        <w:rPr>
          <w:rFonts w:ascii="Arial" w:eastAsia="Calibri" w:hAnsi="Arial" w:cs="Arial"/>
          <w:sz w:val="24"/>
          <w:szCs w:val="24"/>
        </w:rPr>
        <w:t xml:space="preserve"> de fecha 11 de </w:t>
      </w:r>
      <w:r w:rsidR="00556F6E">
        <w:rPr>
          <w:rFonts w:ascii="Arial" w:eastAsia="Calibri" w:hAnsi="Arial" w:cs="Arial"/>
          <w:sz w:val="24"/>
          <w:szCs w:val="24"/>
        </w:rPr>
        <w:t>noviembre</w:t>
      </w:r>
      <w:r w:rsidR="003D2088">
        <w:rPr>
          <w:rFonts w:ascii="Arial" w:eastAsia="Calibri" w:hAnsi="Arial" w:cs="Arial"/>
          <w:sz w:val="24"/>
          <w:szCs w:val="24"/>
        </w:rPr>
        <w:t xml:space="preserve"> de</w:t>
      </w:r>
      <w:r w:rsidR="00556F6E">
        <w:rPr>
          <w:rFonts w:ascii="Arial" w:eastAsia="Calibri" w:hAnsi="Arial" w:cs="Arial"/>
          <w:sz w:val="24"/>
          <w:szCs w:val="24"/>
        </w:rPr>
        <w:t>l</w:t>
      </w:r>
      <w:r w:rsidR="003D2088">
        <w:rPr>
          <w:rFonts w:ascii="Arial" w:eastAsia="Calibri" w:hAnsi="Arial" w:cs="Arial"/>
          <w:sz w:val="24"/>
          <w:szCs w:val="24"/>
        </w:rPr>
        <w:t xml:space="preserve"> 2022.</w:t>
      </w:r>
    </w:p>
    <w:p w14:paraId="7D039E43" w14:textId="77777777" w:rsidR="00B5173F" w:rsidRPr="00FF5C35" w:rsidRDefault="00B5173F" w:rsidP="00B5173F">
      <w:pPr>
        <w:spacing w:after="0" w:line="360" w:lineRule="auto"/>
        <w:jc w:val="both"/>
        <w:rPr>
          <w:rFonts w:ascii="Arial" w:eastAsia="Calibri" w:hAnsi="Arial" w:cs="Arial"/>
          <w:sz w:val="24"/>
          <w:szCs w:val="24"/>
        </w:rPr>
      </w:pPr>
    </w:p>
    <w:p w14:paraId="10A4F6D6" w14:textId="2A234251" w:rsidR="00B5173F" w:rsidRPr="004A4A1C" w:rsidRDefault="00B5173F" w:rsidP="004A4A1C">
      <w:pPr>
        <w:numPr>
          <w:ilvl w:val="0"/>
          <w:numId w:val="12"/>
        </w:numPr>
        <w:spacing w:after="0" w:line="360" w:lineRule="auto"/>
        <w:jc w:val="both"/>
        <w:rPr>
          <w:rFonts w:ascii="Arial" w:eastAsia="Calibri" w:hAnsi="Arial" w:cs="Arial"/>
          <w:sz w:val="24"/>
          <w:szCs w:val="24"/>
        </w:rPr>
      </w:pPr>
      <w:r w:rsidRPr="00FF5C35">
        <w:rPr>
          <w:rFonts w:ascii="Arial" w:eastAsia="Calibri" w:hAnsi="Arial" w:cs="Arial"/>
          <w:sz w:val="24"/>
          <w:szCs w:val="24"/>
        </w:rPr>
        <w:t>Fideicomisos, mandatos y análogos de los cuales es fideicomitente o fideicomisario.</w:t>
      </w:r>
    </w:p>
    <w:tbl>
      <w:tblPr>
        <w:tblW w:w="0" w:type="auto"/>
        <w:jc w:val="center"/>
        <w:tblCellMar>
          <w:left w:w="70" w:type="dxa"/>
          <w:right w:w="70" w:type="dxa"/>
        </w:tblCellMar>
        <w:tblLook w:val="04A0" w:firstRow="1" w:lastRow="0" w:firstColumn="1" w:lastColumn="0" w:noHBand="0" w:noVBand="1"/>
      </w:tblPr>
      <w:tblGrid>
        <w:gridCol w:w="2615"/>
        <w:gridCol w:w="1116"/>
        <w:gridCol w:w="5097"/>
      </w:tblGrid>
      <w:tr w:rsidR="00B5173F" w:rsidRPr="00FF5C35" w14:paraId="679B6C64" w14:textId="77777777" w:rsidTr="00591D90">
        <w:trPr>
          <w:cantSplit/>
          <w:tblHeader/>
          <w:jc w:val="center"/>
        </w:trPr>
        <w:tc>
          <w:tcPr>
            <w:tcW w:w="0" w:type="auto"/>
            <w:gridSpan w:val="2"/>
            <w:tcBorders>
              <w:top w:val="single" w:sz="4" w:space="0" w:color="auto"/>
              <w:left w:val="single" w:sz="4" w:space="0" w:color="auto"/>
              <w:bottom w:val="single" w:sz="4" w:space="0" w:color="auto"/>
              <w:right w:val="single" w:sz="4" w:space="0" w:color="000000"/>
            </w:tcBorders>
            <w:shd w:val="clear" w:color="auto" w:fill="D9D9D9"/>
            <w:noWrap/>
            <w:vAlign w:val="center"/>
            <w:hideMark/>
          </w:tcPr>
          <w:p w14:paraId="239E2C70"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FIDEICOMISO</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D9D9D9"/>
            <w:vAlign w:val="center"/>
            <w:hideMark/>
          </w:tcPr>
          <w:p w14:paraId="061B7D1D" w14:textId="29BA989E" w:rsidR="00B5173F" w:rsidRPr="00FF5C35" w:rsidRDefault="001A4731"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DESTINO Y</w:t>
            </w:r>
            <w:r w:rsidR="00B5173F" w:rsidRPr="00FF5C35">
              <w:rPr>
                <w:rFonts w:ascii="Arial" w:eastAsia="Times New Roman" w:hAnsi="Arial" w:cs="Arial"/>
                <w:b/>
                <w:bCs/>
                <w:sz w:val="15"/>
                <w:szCs w:val="16"/>
                <w:lang w:eastAsia="es-ES_tradnl"/>
              </w:rPr>
              <w:t>/</w:t>
            </w:r>
            <w:r w:rsidRPr="00FF5C35">
              <w:rPr>
                <w:rFonts w:ascii="Arial" w:eastAsia="Times New Roman" w:hAnsi="Arial" w:cs="Arial"/>
                <w:b/>
                <w:bCs/>
                <w:sz w:val="15"/>
                <w:szCs w:val="16"/>
                <w:lang w:eastAsia="es-ES_tradnl"/>
              </w:rPr>
              <w:t>O PROYECTO</w:t>
            </w:r>
            <w:r w:rsidR="00B5173F" w:rsidRPr="00FF5C35">
              <w:rPr>
                <w:rFonts w:ascii="Arial" w:eastAsia="Times New Roman" w:hAnsi="Arial" w:cs="Arial"/>
                <w:b/>
                <w:bCs/>
                <w:sz w:val="15"/>
                <w:szCs w:val="16"/>
                <w:lang w:eastAsia="es-ES_tradnl"/>
              </w:rPr>
              <w:t xml:space="preserve"> </w:t>
            </w:r>
          </w:p>
        </w:tc>
      </w:tr>
      <w:tr w:rsidR="00B5173F" w:rsidRPr="00FF5C35" w14:paraId="31F24BB7" w14:textId="77777777" w:rsidTr="00591D90">
        <w:trPr>
          <w:cantSplit/>
          <w:tblHeader/>
          <w:jc w:val="center"/>
        </w:trPr>
        <w:tc>
          <w:tcPr>
            <w:tcW w:w="0" w:type="auto"/>
            <w:tcBorders>
              <w:top w:val="nil"/>
              <w:left w:val="single" w:sz="4" w:space="0" w:color="auto"/>
              <w:bottom w:val="single" w:sz="4" w:space="0" w:color="auto"/>
              <w:right w:val="single" w:sz="4" w:space="0" w:color="auto"/>
            </w:tcBorders>
            <w:shd w:val="clear" w:color="auto" w:fill="D9D9D9"/>
            <w:vAlign w:val="center"/>
            <w:hideMark/>
          </w:tcPr>
          <w:p w14:paraId="509A34A2" w14:textId="77777777" w:rsidR="00B5173F" w:rsidRPr="00FF5C35" w:rsidRDefault="00B5173F" w:rsidP="00591D90">
            <w:pPr>
              <w:spacing w:after="0" w:line="240" w:lineRule="auto"/>
              <w:jc w:val="center"/>
              <w:rPr>
                <w:rFonts w:ascii="Arial" w:eastAsia="Times New Roman" w:hAnsi="Arial" w:cs="Arial"/>
                <w:b/>
                <w:bCs/>
                <w:color w:val="000000"/>
                <w:sz w:val="15"/>
                <w:szCs w:val="16"/>
                <w:lang w:eastAsia="es-ES_tradnl"/>
              </w:rPr>
            </w:pPr>
            <w:r w:rsidRPr="00FF5C35">
              <w:rPr>
                <w:rFonts w:ascii="Arial" w:eastAsia="Times New Roman" w:hAnsi="Arial" w:cs="Arial"/>
                <w:b/>
                <w:bCs/>
                <w:color w:val="000000"/>
                <w:sz w:val="15"/>
                <w:szCs w:val="16"/>
                <w:lang w:eastAsia="es-ES_tradnl"/>
              </w:rPr>
              <w:t>Nombre del Fideicomiso                                      (a)</w:t>
            </w:r>
          </w:p>
        </w:tc>
        <w:tc>
          <w:tcPr>
            <w:tcW w:w="0" w:type="auto"/>
            <w:tcBorders>
              <w:top w:val="nil"/>
              <w:left w:val="nil"/>
              <w:bottom w:val="single" w:sz="4" w:space="0" w:color="auto"/>
              <w:right w:val="single" w:sz="4" w:space="0" w:color="auto"/>
            </w:tcBorders>
            <w:shd w:val="clear" w:color="auto" w:fill="D9D9D9"/>
            <w:vAlign w:val="center"/>
            <w:hideMark/>
          </w:tcPr>
          <w:p w14:paraId="46E211CE" w14:textId="4FF6E799" w:rsidR="00B5173F" w:rsidRPr="00FF5C35" w:rsidRDefault="00B5173F" w:rsidP="00591D90">
            <w:pPr>
              <w:spacing w:after="0" w:line="240" w:lineRule="auto"/>
              <w:jc w:val="center"/>
              <w:rPr>
                <w:rFonts w:ascii="Arial" w:eastAsia="Times New Roman" w:hAnsi="Arial" w:cs="Arial"/>
                <w:b/>
                <w:bCs/>
                <w:color w:val="000000"/>
                <w:sz w:val="15"/>
                <w:szCs w:val="16"/>
                <w:lang w:eastAsia="es-ES_tradnl"/>
              </w:rPr>
            </w:pPr>
            <w:r w:rsidRPr="00FF5C35">
              <w:rPr>
                <w:rFonts w:ascii="Arial" w:eastAsia="Times New Roman" w:hAnsi="Arial" w:cs="Arial"/>
                <w:b/>
                <w:bCs/>
                <w:color w:val="000000"/>
                <w:sz w:val="15"/>
                <w:szCs w:val="16"/>
                <w:lang w:eastAsia="es-ES_tradnl"/>
              </w:rPr>
              <w:t>N</w:t>
            </w:r>
            <w:r w:rsidR="00760884">
              <w:rPr>
                <w:rFonts w:ascii="Arial" w:eastAsia="Times New Roman" w:hAnsi="Arial" w:cs="Arial"/>
                <w:b/>
                <w:bCs/>
                <w:color w:val="000000"/>
                <w:sz w:val="15"/>
                <w:szCs w:val="16"/>
                <w:lang w:eastAsia="es-ES_tradnl"/>
              </w:rPr>
              <w:t>ú</w:t>
            </w:r>
            <w:r w:rsidRPr="00FF5C35">
              <w:rPr>
                <w:rFonts w:ascii="Arial" w:eastAsia="Times New Roman" w:hAnsi="Arial" w:cs="Arial"/>
                <w:b/>
                <w:bCs/>
                <w:color w:val="000000"/>
                <w:sz w:val="15"/>
                <w:szCs w:val="16"/>
                <w:lang w:eastAsia="es-ES_tradnl"/>
              </w:rPr>
              <w:t>mero de Fideicomiso</w:t>
            </w:r>
          </w:p>
        </w:tc>
        <w:tc>
          <w:tcPr>
            <w:tcW w:w="0" w:type="auto"/>
            <w:vMerge/>
            <w:tcBorders>
              <w:top w:val="single" w:sz="4" w:space="0" w:color="auto"/>
              <w:left w:val="single" w:sz="4" w:space="0" w:color="auto"/>
              <w:bottom w:val="single" w:sz="4" w:space="0" w:color="000000"/>
              <w:right w:val="single" w:sz="4" w:space="0" w:color="auto"/>
            </w:tcBorders>
            <w:shd w:val="clear" w:color="auto" w:fill="D9D9D9"/>
            <w:vAlign w:val="center"/>
            <w:hideMark/>
          </w:tcPr>
          <w:p w14:paraId="69D1D557" w14:textId="77777777" w:rsidR="00B5173F" w:rsidRPr="00FF5C35" w:rsidRDefault="00B5173F" w:rsidP="00591D90">
            <w:pPr>
              <w:spacing w:after="0" w:line="240" w:lineRule="auto"/>
              <w:rPr>
                <w:rFonts w:ascii="Arial" w:eastAsia="Times New Roman" w:hAnsi="Arial" w:cs="Arial"/>
                <w:b/>
                <w:bCs/>
                <w:sz w:val="15"/>
                <w:szCs w:val="16"/>
                <w:lang w:eastAsia="es-ES_tradnl"/>
              </w:rPr>
            </w:pPr>
          </w:p>
        </w:tc>
      </w:tr>
      <w:tr w:rsidR="00B5173F" w:rsidRPr="00FF5C35" w14:paraId="5AD9A8A2" w14:textId="77777777" w:rsidTr="00591D90">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74F6E8B" w14:textId="77777777" w:rsidR="00B5173F" w:rsidRPr="00FF5C35" w:rsidRDefault="00B5173F" w:rsidP="00591D90">
            <w:pPr>
              <w:spacing w:after="0" w:line="240" w:lineRule="auto"/>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Fideicomiso Irrevocable de Administración y Fuente de Pago </w:t>
            </w:r>
            <w:r w:rsidRPr="00FF5C35">
              <w:rPr>
                <w:rFonts w:ascii="Arial" w:eastAsia="Times New Roman" w:hAnsi="Arial" w:cs="Arial"/>
                <w:b/>
                <w:bCs/>
                <w:sz w:val="15"/>
                <w:szCs w:val="16"/>
                <w:lang w:eastAsia="es-ES_tradnl"/>
              </w:rPr>
              <w:t>"Fideicomiso Maestro"</w:t>
            </w:r>
          </w:p>
        </w:tc>
        <w:tc>
          <w:tcPr>
            <w:tcW w:w="0" w:type="auto"/>
            <w:tcBorders>
              <w:top w:val="nil"/>
              <w:left w:val="nil"/>
              <w:bottom w:val="single" w:sz="4" w:space="0" w:color="auto"/>
              <w:right w:val="single" w:sz="4" w:space="0" w:color="auto"/>
            </w:tcBorders>
            <w:shd w:val="clear" w:color="auto" w:fill="auto"/>
            <w:vAlign w:val="center"/>
            <w:hideMark/>
          </w:tcPr>
          <w:p w14:paraId="7D5093C6"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 xml:space="preserve">F/00311 </w:t>
            </w:r>
          </w:p>
        </w:tc>
        <w:tc>
          <w:tcPr>
            <w:tcW w:w="0" w:type="auto"/>
            <w:tcBorders>
              <w:top w:val="nil"/>
              <w:left w:val="nil"/>
              <w:bottom w:val="single" w:sz="4" w:space="0" w:color="auto"/>
              <w:right w:val="single" w:sz="4" w:space="0" w:color="auto"/>
            </w:tcBorders>
            <w:shd w:val="clear" w:color="auto" w:fill="auto"/>
            <w:vAlign w:val="center"/>
            <w:hideMark/>
          </w:tcPr>
          <w:p w14:paraId="1742057F" w14:textId="77777777" w:rsidR="00B5173F" w:rsidRPr="00FF5C35" w:rsidRDefault="00B5173F" w:rsidP="00591D90">
            <w:pPr>
              <w:spacing w:after="0" w:line="240" w:lineRule="auto"/>
              <w:jc w:val="center"/>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Establecer el mecanismo necesario para el pago de obligaciones contraídas por el Fideicomitente, con motivo del empréstito a que se refiere el Decreto 617</w:t>
            </w:r>
          </w:p>
        </w:tc>
      </w:tr>
      <w:tr w:rsidR="00B5173F" w:rsidRPr="00FF5C35" w14:paraId="1CA0C9C0" w14:textId="77777777" w:rsidTr="00591D90">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B274456" w14:textId="77777777" w:rsidR="00B5173F" w:rsidRPr="00FF5C35" w:rsidRDefault="00B5173F" w:rsidP="00591D90">
            <w:pPr>
              <w:spacing w:after="0" w:line="240" w:lineRule="auto"/>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Fideicomiso Irrevocable de Administración y Fuente de Pago</w:t>
            </w:r>
          </w:p>
        </w:tc>
        <w:tc>
          <w:tcPr>
            <w:tcW w:w="0" w:type="auto"/>
            <w:tcBorders>
              <w:top w:val="nil"/>
              <w:left w:val="nil"/>
              <w:bottom w:val="single" w:sz="4" w:space="0" w:color="auto"/>
              <w:right w:val="single" w:sz="4" w:space="0" w:color="auto"/>
            </w:tcBorders>
            <w:shd w:val="clear" w:color="auto" w:fill="auto"/>
            <w:vAlign w:val="center"/>
            <w:hideMark/>
          </w:tcPr>
          <w:p w14:paraId="5C759040"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 xml:space="preserve"> F/00573</w:t>
            </w:r>
          </w:p>
        </w:tc>
        <w:tc>
          <w:tcPr>
            <w:tcW w:w="0" w:type="auto"/>
            <w:tcBorders>
              <w:top w:val="nil"/>
              <w:left w:val="nil"/>
              <w:bottom w:val="single" w:sz="4" w:space="0" w:color="auto"/>
              <w:right w:val="single" w:sz="4" w:space="0" w:color="auto"/>
            </w:tcBorders>
            <w:shd w:val="clear" w:color="auto" w:fill="auto"/>
            <w:vAlign w:val="center"/>
            <w:hideMark/>
          </w:tcPr>
          <w:p w14:paraId="252BCE94" w14:textId="691AB24C" w:rsidR="00B5173F" w:rsidRPr="00FF5C35" w:rsidRDefault="00B5173F" w:rsidP="00591D90">
            <w:pPr>
              <w:spacing w:after="0" w:line="240" w:lineRule="auto"/>
              <w:jc w:val="center"/>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Funciona como un mecanismo para la distribución del total de los ingresos derivados de las participaciones municipales que corresponden a los municipios del </w:t>
            </w:r>
            <w:r w:rsidR="001A4731" w:rsidRPr="00FF5C35">
              <w:rPr>
                <w:rFonts w:ascii="Arial" w:eastAsia="Times New Roman" w:hAnsi="Arial" w:cs="Arial"/>
                <w:sz w:val="15"/>
                <w:szCs w:val="16"/>
                <w:lang w:eastAsia="es-ES_tradnl"/>
              </w:rPr>
              <w:t>estado para</w:t>
            </w:r>
            <w:r w:rsidRPr="00FF5C35">
              <w:rPr>
                <w:rFonts w:ascii="Arial" w:eastAsia="Times New Roman" w:hAnsi="Arial" w:cs="Arial"/>
                <w:sz w:val="15"/>
                <w:szCs w:val="16"/>
                <w:lang w:eastAsia="es-ES_tradnl"/>
              </w:rPr>
              <w:t xml:space="preserve"> dar cumplimiento a lo señalado en el art. 6 de la ley de </w:t>
            </w:r>
            <w:r w:rsidR="00760884" w:rsidRPr="00FF5C35">
              <w:rPr>
                <w:rFonts w:ascii="Arial" w:eastAsia="Times New Roman" w:hAnsi="Arial" w:cs="Arial"/>
                <w:sz w:val="15"/>
                <w:szCs w:val="16"/>
                <w:lang w:eastAsia="es-ES_tradnl"/>
              </w:rPr>
              <w:t>Coordinación fiscal</w:t>
            </w:r>
            <w:r w:rsidRPr="00FF5C35">
              <w:rPr>
                <w:rFonts w:ascii="Arial" w:eastAsia="Times New Roman" w:hAnsi="Arial" w:cs="Arial"/>
                <w:sz w:val="15"/>
                <w:szCs w:val="16"/>
                <w:lang w:eastAsia="es-ES_tradnl"/>
              </w:rPr>
              <w:t xml:space="preserve"> y Art. 10 de la ley 251</w:t>
            </w:r>
          </w:p>
        </w:tc>
      </w:tr>
      <w:tr w:rsidR="00B5173F" w:rsidRPr="00FF5C35" w14:paraId="6533A674" w14:textId="77777777" w:rsidTr="00591D90">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689740" w14:textId="58F8465A" w:rsidR="00B5173F" w:rsidRPr="00FF5C35" w:rsidRDefault="00B5173F" w:rsidP="00591D90">
            <w:pPr>
              <w:spacing w:after="0" w:line="240" w:lineRule="auto"/>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lastRenderedPageBreak/>
              <w:t xml:space="preserve">Fideicomiso Irrevocable de Captación, </w:t>
            </w:r>
            <w:r w:rsidR="001A4731" w:rsidRPr="00FF5C35">
              <w:rPr>
                <w:rFonts w:ascii="Arial" w:eastAsia="Times New Roman" w:hAnsi="Arial" w:cs="Arial"/>
                <w:sz w:val="15"/>
                <w:szCs w:val="16"/>
                <w:lang w:eastAsia="es-ES_tradnl"/>
              </w:rPr>
              <w:t>Admiración</w:t>
            </w:r>
            <w:r w:rsidRPr="00FF5C35">
              <w:rPr>
                <w:rFonts w:ascii="Arial" w:eastAsia="Times New Roman" w:hAnsi="Arial" w:cs="Arial"/>
                <w:sz w:val="15"/>
                <w:szCs w:val="16"/>
                <w:lang w:eastAsia="es-ES_tradnl"/>
              </w:rPr>
              <w:t xml:space="preserve"> y Distribución de Fondos. Gobierno del Estado de Guerrero y Municipios Adherentes (</w:t>
            </w:r>
            <w:r w:rsidRPr="00FF5C35">
              <w:rPr>
                <w:rFonts w:ascii="Arial" w:eastAsia="Times New Roman" w:hAnsi="Arial" w:cs="Arial"/>
                <w:b/>
                <w:bCs/>
                <w:sz w:val="15"/>
                <w:szCs w:val="16"/>
                <w:lang w:eastAsia="es-ES_tradnl"/>
              </w:rPr>
              <w:t>FAIS)</w:t>
            </w:r>
          </w:p>
        </w:tc>
        <w:tc>
          <w:tcPr>
            <w:tcW w:w="0" w:type="auto"/>
            <w:tcBorders>
              <w:top w:val="nil"/>
              <w:left w:val="nil"/>
              <w:bottom w:val="single" w:sz="4" w:space="0" w:color="auto"/>
              <w:right w:val="single" w:sz="4" w:space="0" w:color="auto"/>
            </w:tcBorders>
            <w:shd w:val="clear" w:color="auto" w:fill="auto"/>
            <w:vAlign w:val="center"/>
            <w:hideMark/>
          </w:tcPr>
          <w:p w14:paraId="4A7F5D8C"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F/2161</w:t>
            </w:r>
          </w:p>
        </w:tc>
        <w:tc>
          <w:tcPr>
            <w:tcW w:w="0" w:type="auto"/>
            <w:tcBorders>
              <w:top w:val="nil"/>
              <w:left w:val="nil"/>
              <w:bottom w:val="single" w:sz="4" w:space="0" w:color="auto"/>
              <w:right w:val="single" w:sz="4" w:space="0" w:color="auto"/>
            </w:tcBorders>
            <w:shd w:val="clear" w:color="auto" w:fill="auto"/>
            <w:vAlign w:val="center"/>
            <w:hideMark/>
          </w:tcPr>
          <w:p w14:paraId="1334A1E6" w14:textId="3F09A930" w:rsidR="00B5173F" w:rsidRPr="00FF5C35" w:rsidRDefault="00B5173F" w:rsidP="00591D90">
            <w:pPr>
              <w:spacing w:after="0" w:line="240" w:lineRule="auto"/>
              <w:jc w:val="center"/>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A la realización de los fines del fideicomiso encomendándose al fiduciario su puntual y debido </w:t>
            </w:r>
            <w:r w:rsidR="001A4731" w:rsidRPr="00FF5C35">
              <w:rPr>
                <w:rFonts w:ascii="Arial" w:eastAsia="Times New Roman" w:hAnsi="Arial" w:cs="Arial"/>
                <w:sz w:val="15"/>
                <w:szCs w:val="16"/>
                <w:lang w:eastAsia="es-ES_tradnl"/>
              </w:rPr>
              <w:t>cumplimiento para</w:t>
            </w:r>
            <w:r w:rsidRPr="00FF5C35">
              <w:rPr>
                <w:rFonts w:ascii="Arial" w:eastAsia="Times New Roman" w:hAnsi="Arial" w:cs="Arial"/>
                <w:sz w:val="15"/>
                <w:szCs w:val="16"/>
                <w:lang w:eastAsia="es-ES_tradnl"/>
              </w:rPr>
              <w:t xml:space="preserve"> los fines a los que tendrá la obligación de su aplicación.</w:t>
            </w:r>
          </w:p>
        </w:tc>
      </w:tr>
      <w:tr w:rsidR="00B5173F" w:rsidRPr="00FF5C35" w14:paraId="41EA0A7B" w14:textId="77777777" w:rsidTr="00591D90">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0985AF4C" w14:textId="47AFCDC0" w:rsidR="00B5173F" w:rsidRPr="00FF5C35" w:rsidRDefault="00B5173F" w:rsidP="00591D90">
            <w:pPr>
              <w:spacing w:after="0" w:line="240" w:lineRule="auto"/>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Fideicomiso Irrevocable de Inversión y Administración </w:t>
            </w:r>
            <w:r w:rsidRPr="00FF5C35">
              <w:rPr>
                <w:rFonts w:ascii="Arial" w:eastAsia="Times New Roman" w:hAnsi="Arial" w:cs="Arial"/>
                <w:b/>
                <w:bCs/>
                <w:sz w:val="15"/>
                <w:szCs w:val="16"/>
                <w:lang w:eastAsia="es-ES_tradnl"/>
              </w:rPr>
              <w:t>"FONSOL"</w:t>
            </w:r>
            <w:r w:rsidRPr="00FF5C35">
              <w:rPr>
                <w:rFonts w:ascii="Arial" w:eastAsia="Times New Roman" w:hAnsi="Arial" w:cs="Arial"/>
                <w:sz w:val="15"/>
                <w:szCs w:val="16"/>
                <w:lang w:eastAsia="es-ES_tradnl"/>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8A2B373"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F/10130</w:t>
            </w:r>
          </w:p>
        </w:tc>
        <w:tc>
          <w:tcPr>
            <w:tcW w:w="0" w:type="auto"/>
            <w:tcBorders>
              <w:top w:val="nil"/>
              <w:left w:val="nil"/>
              <w:bottom w:val="single" w:sz="4" w:space="0" w:color="auto"/>
              <w:right w:val="single" w:sz="4" w:space="0" w:color="auto"/>
            </w:tcBorders>
            <w:shd w:val="clear" w:color="auto" w:fill="auto"/>
            <w:vAlign w:val="center"/>
            <w:hideMark/>
          </w:tcPr>
          <w:p w14:paraId="44CB2F80" w14:textId="07EA65C0" w:rsidR="00B5173F" w:rsidRPr="00FF5C35" w:rsidRDefault="00B5173F" w:rsidP="00591D90">
            <w:pPr>
              <w:spacing w:after="0" w:line="240" w:lineRule="auto"/>
              <w:jc w:val="center"/>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Aplicar la correcta administración y aplicación de los recursos que se aporten como patrimonio al fideicomiso en forma </w:t>
            </w:r>
            <w:r w:rsidR="00760884" w:rsidRPr="00FF5C35">
              <w:rPr>
                <w:rFonts w:ascii="Arial" w:eastAsia="Times New Roman" w:hAnsi="Arial" w:cs="Arial"/>
                <w:sz w:val="15"/>
                <w:szCs w:val="16"/>
                <w:lang w:eastAsia="es-ES_tradnl"/>
              </w:rPr>
              <w:t>adicional a</w:t>
            </w:r>
            <w:r w:rsidRPr="00FF5C35">
              <w:rPr>
                <w:rFonts w:ascii="Arial" w:eastAsia="Times New Roman" w:hAnsi="Arial" w:cs="Arial"/>
                <w:sz w:val="15"/>
                <w:szCs w:val="16"/>
                <w:lang w:eastAsia="es-ES_tradnl"/>
              </w:rPr>
              <w:t xml:space="preserve"> los programas y fondos instituido por el gobierno federal y estatal fortaleciendo los recursos de los municipios</w:t>
            </w:r>
          </w:p>
        </w:tc>
      </w:tr>
      <w:tr w:rsidR="00B5173F" w:rsidRPr="00FF5C35" w14:paraId="0C7757B4" w14:textId="77777777" w:rsidTr="00591D90">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AA0E760" w14:textId="0CBCA338" w:rsidR="00B5173F" w:rsidRPr="00FF5C35" w:rsidRDefault="00B5173F" w:rsidP="00591D90">
            <w:pPr>
              <w:spacing w:after="0" w:line="240" w:lineRule="auto"/>
              <w:ind w:left="209"/>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Fideicomiso Irrevocable de Administración y Fuente de </w:t>
            </w:r>
            <w:r w:rsidR="001A4731" w:rsidRPr="00FF5C35">
              <w:rPr>
                <w:rFonts w:ascii="Arial" w:eastAsia="Times New Roman" w:hAnsi="Arial" w:cs="Arial"/>
                <w:sz w:val="15"/>
                <w:szCs w:val="16"/>
                <w:lang w:eastAsia="es-ES_tradnl"/>
              </w:rPr>
              <w:t xml:space="preserve">Pago </w:t>
            </w:r>
            <w:r w:rsidR="001A4731" w:rsidRPr="00FF5C35">
              <w:rPr>
                <w:rFonts w:ascii="Arial" w:eastAsia="Times New Roman" w:hAnsi="Arial" w:cs="Arial"/>
                <w:b/>
                <w:bCs/>
                <w:sz w:val="15"/>
                <w:szCs w:val="16"/>
                <w:lang w:eastAsia="es-ES_tradnl"/>
              </w:rPr>
              <w:t>CAPAMA</w:t>
            </w:r>
            <w:r w:rsidRPr="00FF5C35">
              <w:rPr>
                <w:rFonts w:ascii="Arial" w:eastAsia="Times New Roman" w:hAnsi="Arial" w:cs="Arial"/>
                <w:b/>
                <w:bCs/>
                <w:sz w:val="15"/>
                <w:szCs w:val="16"/>
                <w:lang w:eastAsia="es-ES_tradnl"/>
              </w:rPr>
              <w:t>-Acapulco</w:t>
            </w:r>
          </w:p>
        </w:tc>
        <w:tc>
          <w:tcPr>
            <w:tcW w:w="0" w:type="auto"/>
            <w:tcBorders>
              <w:top w:val="nil"/>
              <w:left w:val="nil"/>
              <w:bottom w:val="single" w:sz="4" w:space="0" w:color="auto"/>
              <w:right w:val="single" w:sz="4" w:space="0" w:color="auto"/>
            </w:tcBorders>
            <w:shd w:val="clear" w:color="auto" w:fill="auto"/>
            <w:vAlign w:val="center"/>
            <w:hideMark/>
          </w:tcPr>
          <w:p w14:paraId="19D92DC9"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F/632</w:t>
            </w:r>
          </w:p>
        </w:tc>
        <w:tc>
          <w:tcPr>
            <w:tcW w:w="0" w:type="auto"/>
            <w:tcBorders>
              <w:top w:val="nil"/>
              <w:left w:val="nil"/>
              <w:bottom w:val="single" w:sz="4" w:space="0" w:color="auto"/>
              <w:right w:val="single" w:sz="4" w:space="0" w:color="auto"/>
            </w:tcBorders>
            <w:shd w:val="clear" w:color="auto" w:fill="auto"/>
            <w:vAlign w:val="center"/>
            <w:hideMark/>
          </w:tcPr>
          <w:p w14:paraId="3BBE3EAD" w14:textId="77777777" w:rsidR="00B5173F" w:rsidRPr="00FF5C35" w:rsidRDefault="00B5173F" w:rsidP="00591D90">
            <w:pPr>
              <w:spacing w:after="0" w:line="240" w:lineRule="auto"/>
              <w:jc w:val="center"/>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Este fideicomiso es externo, el Gobierno del Estado de Guerrero sólo es aval</w:t>
            </w:r>
          </w:p>
        </w:tc>
      </w:tr>
      <w:tr w:rsidR="00B5173F" w:rsidRPr="00FF5C35" w14:paraId="09F065A2" w14:textId="77777777" w:rsidTr="00591D90">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96C5A99" w14:textId="77777777" w:rsidR="00B5173F" w:rsidRPr="00FF5C35" w:rsidRDefault="00B5173F" w:rsidP="00591D90">
            <w:pPr>
              <w:spacing w:after="0" w:line="240" w:lineRule="auto"/>
              <w:ind w:left="209"/>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Fideicomiso Público de Administración e Inversión del </w:t>
            </w:r>
            <w:r w:rsidRPr="00FF5C35">
              <w:rPr>
                <w:rFonts w:ascii="Arial" w:eastAsia="Times New Roman" w:hAnsi="Arial" w:cs="Arial"/>
                <w:b/>
                <w:bCs/>
                <w:sz w:val="15"/>
                <w:szCs w:val="16"/>
                <w:lang w:eastAsia="es-ES_tradnl"/>
              </w:rPr>
              <w:t xml:space="preserve">Fondo Metropolitano de Acapulco </w:t>
            </w:r>
          </w:p>
        </w:tc>
        <w:tc>
          <w:tcPr>
            <w:tcW w:w="0" w:type="auto"/>
            <w:tcBorders>
              <w:top w:val="nil"/>
              <w:left w:val="nil"/>
              <w:bottom w:val="single" w:sz="4" w:space="0" w:color="auto"/>
              <w:right w:val="single" w:sz="4" w:space="0" w:color="auto"/>
            </w:tcBorders>
            <w:shd w:val="clear" w:color="auto" w:fill="auto"/>
            <w:vAlign w:val="center"/>
            <w:hideMark/>
          </w:tcPr>
          <w:p w14:paraId="2CDC80FE"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F/2149</w:t>
            </w:r>
          </w:p>
        </w:tc>
        <w:tc>
          <w:tcPr>
            <w:tcW w:w="0" w:type="auto"/>
            <w:tcBorders>
              <w:top w:val="nil"/>
              <w:left w:val="nil"/>
              <w:bottom w:val="single" w:sz="4" w:space="0" w:color="auto"/>
              <w:right w:val="single" w:sz="4" w:space="0" w:color="auto"/>
            </w:tcBorders>
            <w:shd w:val="clear" w:color="auto" w:fill="auto"/>
            <w:vAlign w:val="center"/>
            <w:hideMark/>
          </w:tcPr>
          <w:p w14:paraId="224D48D9" w14:textId="6DF624EA" w:rsidR="00B5173F" w:rsidRPr="00FF5C35" w:rsidRDefault="001A4731" w:rsidP="00591D90">
            <w:pPr>
              <w:spacing w:after="0" w:line="240" w:lineRule="auto"/>
              <w:ind w:left="273"/>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Recursos destinados</w:t>
            </w:r>
            <w:r w:rsidR="00B5173F" w:rsidRPr="00FF5C35">
              <w:rPr>
                <w:rFonts w:ascii="Arial" w:eastAsia="Times New Roman" w:hAnsi="Arial" w:cs="Arial"/>
                <w:sz w:val="15"/>
                <w:szCs w:val="16"/>
                <w:lang w:eastAsia="es-ES_tradnl"/>
              </w:rPr>
              <w:t xml:space="preserve"> a planes, estudios, evaluaciones, programas, proyectos, acciones y obras </w:t>
            </w:r>
            <w:r w:rsidR="00760884" w:rsidRPr="00FF5C35">
              <w:rPr>
                <w:rFonts w:ascii="Arial" w:eastAsia="Times New Roman" w:hAnsi="Arial" w:cs="Arial"/>
                <w:sz w:val="15"/>
                <w:szCs w:val="16"/>
                <w:lang w:eastAsia="es-ES_tradnl"/>
              </w:rPr>
              <w:t>públicas</w:t>
            </w:r>
            <w:r w:rsidR="00B5173F" w:rsidRPr="00FF5C35">
              <w:rPr>
                <w:rFonts w:ascii="Arial" w:eastAsia="Times New Roman" w:hAnsi="Arial" w:cs="Arial"/>
                <w:sz w:val="15"/>
                <w:szCs w:val="16"/>
                <w:lang w:eastAsia="es-ES_tradnl"/>
              </w:rPr>
              <w:t xml:space="preserve"> de infraestructura y su equipamiento en beneficio de la zona metropolitana de Acapulco.</w:t>
            </w:r>
          </w:p>
        </w:tc>
      </w:tr>
      <w:tr w:rsidR="00B5173F" w:rsidRPr="00FF5C35" w14:paraId="644E7364" w14:textId="77777777" w:rsidTr="00591D90">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6779F30" w14:textId="53611BEC" w:rsidR="00B5173F" w:rsidRPr="00FF5C35" w:rsidRDefault="00B5173F" w:rsidP="00591D90">
            <w:pPr>
              <w:spacing w:after="0" w:line="240" w:lineRule="auto"/>
              <w:ind w:left="209"/>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Fideicomiso Irrevocable de Administración, Inversión y Fuente de Pago, para la </w:t>
            </w:r>
            <w:r w:rsidR="001A4731" w:rsidRPr="00FF5C35">
              <w:rPr>
                <w:rFonts w:ascii="Arial" w:eastAsia="Times New Roman" w:hAnsi="Arial" w:cs="Arial"/>
                <w:sz w:val="15"/>
                <w:szCs w:val="16"/>
                <w:lang w:eastAsia="es-ES_tradnl"/>
              </w:rPr>
              <w:t>construcción</w:t>
            </w:r>
            <w:r w:rsidRPr="00FF5C35">
              <w:rPr>
                <w:rFonts w:ascii="Arial" w:eastAsia="Times New Roman" w:hAnsi="Arial" w:cs="Arial"/>
                <w:sz w:val="15"/>
                <w:szCs w:val="16"/>
                <w:lang w:eastAsia="es-ES_tradnl"/>
              </w:rPr>
              <w:t xml:space="preserve"> de Cuarteles de Seguridad Pública en las diferentes regiones del Estado </w:t>
            </w:r>
          </w:p>
        </w:tc>
        <w:tc>
          <w:tcPr>
            <w:tcW w:w="0" w:type="auto"/>
            <w:tcBorders>
              <w:top w:val="nil"/>
              <w:left w:val="nil"/>
              <w:bottom w:val="single" w:sz="4" w:space="0" w:color="auto"/>
              <w:right w:val="single" w:sz="4" w:space="0" w:color="auto"/>
            </w:tcBorders>
            <w:shd w:val="clear" w:color="auto" w:fill="auto"/>
            <w:vAlign w:val="center"/>
            <w:hideMark/>
          </w:tcPr>
          <w:p w14:paraId="1622DC24"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 xml:space="preserve">F/0549 </w:t>
            </w:r>
          </w:p>
        </w:tc>
        <w:tc>
          <w:tcPr>
            <w:tcW w:w="0" w:type="auto"/>
            <w:tcBorders>
              <w:top w:val="nil"/>
              <w:left w:val="nil"/>
              <w:bottom w:val="single" w:sz="4" w:space="0" w:color="auto"/>
              <w:right w:val="single" w:sz="4" w:space="0" w:color="auto"/>
            </w:tcBorders>
            <w:shd w:val="clear" w:color="auto" w:fill="auto"/>
            <w:vAlign w:val="center"/>
            <w:hideMark/>
          </w:tcPr>
          <w:p w14:paraId="5264138A" w14:textId="3D8BFDB4" w:rsidR="00B5173F" w:rsidRPr="00FF5C35" w:rsidRDefault="00B5173F" w:rsidP="00591D90">
            <w:pPr>
              <w:spacing w:after="0" w:line="240" w:lineRule="auto"/>
              <w:ind w:left="273"/>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Administración de la Secretaría de Seguridad Pública por contratos de obra </w:t>
            </w:r>
            <w:r w:rsidR="00760884" w:rsidRPr="00FF5C35">
              <w:rPr>
                <w:rFonts w:ascii="Arial" w:eastAsia="Times New Roman" w:hAnsi="Arial" w:cs="Arial"/>
                <w:sz w:val="15"/>
                <w:szCs w:val="16"/>
                <w:lang w:eastAsia="es-ES_tradnl"/>
              </w:rPr>
              <w:t>pública</w:t>
            </w:r>
            <w:r w:rsidRPr="00FF5C35">
              <w:rPr>
                <w:rFonts w:ascii="Arial" w:eastAsia="Times New Roman" w:hAnsi="Arial" w:cs="Arial"/>
                <w:sz w:val="15"/>
                <w:szCs w:val="16"/>
                <w:lang w:eastAsia="es-ES_tradnl"/>
              </w:rPr>
              <w:t xml:space="preserve"> contraídos con los contratistas "CUASA",  " PACSA" Y "CESA" </w:t>
            </w:r>
          </w:p>
        </w:tc>
      </w:tr>
      <w:tr w:rsidR="00B5173F" w:rsidRPr="00FF5C35" w14:paraId="4DB4B9C1" w14:textId="77777777" w:rsidTr="00591D90">
        <w:trPr>
          <w:cantSplit/>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0ADB080" w14:textId="7034D020" w:rsidR="00B5173F" w:rsidRPr="00FF5C35" w:rsidRDefault="00B5173F" w:rsidP="00591D90">
            <w:pPr>
              <w:spacing w:after="0" w:line="240" w:lineRule="auto"/>
              <w:ind w:left="209"/>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Fideicomiso Público de </w:t>
            </w:r>
            <w:r w:rsidR="001A4731" w:rsidRPr="00FF5C35">
              <w:rPr>
                <w:rFonts w:ascii="Arial" w:eastAsia="Times New Roman" w:hAnsi="Arial" w:cs="Arial"/>
                <w:sz w:val="15"/>
                <w:szCs w:val="16"/>
                <w:lang w:eastAsia="es-ES_tradnl"/>
              </w:rPr>
              <w:t>Administración</w:t>
            </w:r>
            <w:r w:rsidRPr="00FF5C35">
              <w:rPr>
                <w:rFonts w:ascii="Arial" w:eastAsia="Times New Roman" w:hAnsi="Arial" w:cs="Arial"/>
                <w:sz w:val="15"/>
                <w:szCs w:val="16"/>
                <w:lang w:eastAsia="es-ES_tradnl"/>
              </w:rPr>
              <w:t xml:space="preserve"> y Fuente de Pago, para la Implementación del Sistema de Justicia Penal en las Entidades Federativas.</w:t>
            </w:r>
          </w:p>
        </w:tc>
        <w:tc>
          <w:tcPr>
            <w:tcW w:w="0" w:type="auto"/>
            <w:tcBorders>
              <w:top w:val="nil"/>
              <w:left w:val="nil"/>
              <w:bottom w:val="single" w:sz="4" w:space="0" w:color="auto"/>
              <w:right w:val="single" w:sz="4" w:space="0" w:color="auto"/>
            </w:tcBorders>
            <w:shd w:val="clear" w:color="auto" w:fill="auto"/>
            <w:vAlign w:val="center"/>
            <w:hideMark/>
          </w:tcPr>
          <w:p w14:paraId="1258EAEE"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F/2237</w:t>
            </w:r>
          </w:p>
        </w:tc>
        <w:tc>
          <w:tcPr>
            <w:tcW w:w="0" w:type="auto"/>
            <w:tcBorders>
              <w:top w:val="nil"/>
              <w:left w:val="nil"/>
              <w:bottom w:val="single" w:sz="4" w:space="0" w:color="auto"/>
              <w:right w:val="single" w:sz="4" w:space="0" w:color="auto"/>
            </w:tcBorders>
            <w:shd w:val="clear" w:color="auto" w:fill="auto"/>
            <w:vAlign w:val="center"/>
            <w:hideMark/>
          </w:tcPr>
          <w:p w14:paraId="78396A6C" w14:textId="77777777" w:rsidR="00B5173F" w:rsidRPr="00FF5C35" w:rsidRDefault="00B5173F" w:rsidP="00591D90">
            <w:pPr>
              <w:spacing w:after="0" w:line="240" w:lineRule="auto"/>
              <w:ind w:left="273"/>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Que el Fiduciario administre los recursos que aporte el Fideicomitente, así como los provenientes de los apoyos financieros que efectúe el Gobierno Federal por conducto del Fideicomiso Federal para ser aplicados a los Proyectos</w:t>
            </w:r>
          </w:p>
        </w:tc>
      </w:tr>
      <w:tr w:rsidR="00B5173F" w:rsidRPr="00FF5C35" w14:paraId="7BAB2B0B" w14:textId="77777777" w:rsidTr="00591D90">
        <w:trPr>
          <w:cantSplit/>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946F928" w14:textId="7EF5A4FE" w:rsidR="00B5173F" w:rsidRPr="00FF5C35" w:rsidRDefault="00B5173F" w:rsidP="00591D90">
            <w:pPr>
              <w:spacing w:after="0" w:line="240" w:lineRule="auto"/>
              <w:ind w:left="209"/>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 xml:space="preserve">Fideicomiso Público de </w:t>
            </w:r>
            <w:r w:rsidR="001A4731" w:rsidRPr="00FF5C35">
              <w:rPr>
                <w:rFonts w:ascii="Arial" w:eastAsia="Times New Roman" w:hAnsi="Arial" w:cs="Arial"/>
                <w:sz w:val="15"/>
                <w:szCs w:val="16"/>
                <w:lang w:eastAsia="es-ES_tradnl"/>
              </w:rPr>
              <w:t>Administración</w:t>
            </w:r>
            <w:r w:rsidRPr="00FF5C35">
              <w:rPr>
                <w:rFonts w:ascii="Arial" w:eastAsia="Times New Roman" w:hAnsi="Arial" w:cs="Arial"/>
                <w:sz w:val="15"/>
                <w:szCs w:val="16"/>
                <w:lang w:eastAsia="es-ES_tradnl"/>
              </w:rPr>
              <w:t xml:space="preserve"> y Pago, Fondo Estatal de Desastres Naturales del Estado de Guerrero</w:t>
            </w:r>
          </w:p>
        </w:tc>
        <w:tc>
          <w:tcPr>
            <w:tcW w:w="0" w:type="auto"/>
            <w:tcBorders>
              <w:top w:val="single" w:sz="4" w:space="0" w:color="auto"/>
              <w:left w:val="nil"/>
              <w:bottom w:val="single" w:sz="4" w:space="0" w:color="auto"/>
              <w:right w:val="single" w:sz="4" w:space="0" w:color="auto"/>
            </w:tcBorders>
            <w:shd w:val="clear" w:color="auto" w:fill="auto"/>
            <w:vAlign w:val="center"/>
          </w:tcPr>
          <w:p w14:paraId="22D1376B" w14:textId="77777777" w:rsidR="00B5173F" w:rsidRPr="00FF5C35" w:rsidRDefault="00B5173F" w:rsidP="00591D90">
            <w:pPr>
              <w:spacing w:after="0" w:line="240" w:lineRule="auto"/>
              <w:jc w:val="center"/>
              <w:rPr>
                <w:rFonts w:ascii="Arial" w:eastAsia="Times New Roman" w:hAnsi="Arial" w:cs="Arial"/>
                <w:b/>
                <w:bCs/>
                <w:sz w:val="15"/>
                <w:szCs w:val="16"/>
                <w:lang w:eastAsia="es-ES_tradnl"/>
              </w:rPr>
            </w:pPr>
            <w:r w:rsidRPr="00FF5C35">
              <w:rPr>
                <w:rFonts w:ascii="Arial" w:eastAsia="Times New Roman" w:hAnsi="Arial" w:cs="Arial"/>
                <w:b/>
                <w:bCs/>
                <w:sz w:val="15"/>
                <w:szCs w:val="16"/>
                <w:lang w:eastAsia="es-ES_tradnl"/>
              </w:rPr>
              <w:t>F/10300</w:t>
            </w:r>
          </w:p>
        </w:tc>
        <w:tc>
          <w:tcPr>
            <w:tcW w:w="0" w:type="auto"/>
            <w:tcBorders>
              <w:top w:val="single" w:sz="4" w:space="0" w:color="auto"/>
              <w:left w:val="nil"/>
              <w:bottom w:val="single" w:sz="4" w:space="0" w:color="auto"/>
              <w:right w:val="single" w:sz="4" w:space="0" w:color="auto"/>
            </w:tcBorders>
            <w:shd w:val="clear" w:color="auto" w:fill="auto"/>
            <w:vAlign w:val="center"/>
          </w:tcPr>
          <w:p w14:paraId="4F47CD13" w14:textId="568F7EFA" w:rsidR="00B5173F" w:rsidRPr="00FF5C35" w:rsidRDefault="00B5173F" w:rsidP="00591D90">
            <w:pPr>
              <w:spacing w:after="0" w:line="240" w:lineRule="auto"/>
              <w:ind w:left="273"/>
              <w:rPr>
                <w:rFonts w:ascii="Arial" w:eastAsia="Times New Roman" w:hAnsi="Arial" w:cs="Arial"/>
                <w:sz w:val="15"/>
                <w:szCs w:val="16"/>
                <w:lang w:eastAsia="es-ES_tradnl"/>
              </w:rPr>
            </w:pPr>
            <w:r w:rsidRPr="00FF5C35">
              <w:rPr>
                <w:rFonts w:ascii="Arial" w:eastAsia="Times New Roman" w:hAnsi="Arial" w:cs="Arial"/>
                <w:sz w:val="15"/>
                <w:szCs w:val="16"/>
                <w:lang w:eastAsia="es-ES_tradnl"/>
              </w:rPr>
              <w:t>Que el Fiduciario administre los recursos que aporte el fideicomitente, al patrimonio del Fideicomiso, para crear un fondo estatal que permita al gobierno del estado de Guerrero, ofrecer un esquema alternativo de apoyo económico inmediato para afrontar los gastos que se originen por motivo de los Desastres Naturales que ocurran en la entidad, y atender oportunamente la primer</w:t>
            </w:r>
            <w:r w:rsidR="005F551A">
              <w:rPr>
                <w:rFonts w:ascii="Arial" w:eastAsia="Times New Roman" w:hAnsi="Arial" w:cs="Arial"/>
                <w:sz w:val="15"/>
                <w:szCs w:val="16"/>
                <w:lang w:eastAsia="es-ES_tradnl"/>
              </w:rPr>
              <w:t>a</w:t>
            </w:r>
            <w:r w:rsidRPr="00FF5C35">
              <w:rPr>
                <w:rFonts w:ascii="Arial" w:eastAsia="Times New Roman" w:hAnsi="Arial" w:cs="Arial"/>
                <w:sz w:val="15"/>
                <w:szCs w:val="16"/>
                <w:lang w:eastAsia="es-ES_tradnl"/>
              </w:rPr>
              <w:t xml:space="preserve"> etapa de la emergencia, la </w:t>
            </w:r>
            <w:r w:rsidR="001A4731" w:rsidRPr="00FF5C35">
              <w:rPr>
                <w:rFonts w:ascii="Arial" w:eastAsia="Times New Roman" w:hAnsi="Arial" w:cs="Arial"/>
                <w:sz w:val="15"/>
                <w:szCs w:val="16"/>
                <w:lang w:eastAsia="es-ES_tradnl"/>
              </w:rPr>
              <w:t>reconstrucción</w:t>
            </w:r>
            <w:r w:rsidRPr="00FF5C35">
              <w:rPr>
                <w:rFonts w:ascii="Arial" w:eastAsia="Times New Roman" w:hAnsi="Arial" w:cs="Arial"/>
                <w:sz w:val="15"/>
                <w:szCs w:val="16"/>
                <w:lang w:eastAsia="es-ES_tradnl"/>
              </w:rPr>
              <w:t>, así como, los proyectos y obras de prevención.</w:t>
            </w:r>
          </w:p>
          <w:p w14:paraId="10933D81" w14:textId="77777777" w:rsidR="00B5173F" w:rsidRPr="00FF5C35" w:rsidRDefault="00B5173F" w:rsidP="00591D90">
            <w:pPr>
              <w:spacing w:after="0" w:line="240" w:lineRule="auto"/>
              <w:ind w:left="273"/>
              <w:rPr>
                <w:rFonts w:ascii="Arial" w:eastAsia="Times New Roman" w:hAnsi="Arial" w:cs="Arial"/>
                <w:sz w:val="15"/>
                <w:szCs w:val="16"/>
                <w:lang w:eastAsia="es-ES_tradnl"/>
              </w:rPr>
            </w:pPr>
          </w:p>
        </w:tc>
      </w:tr>
    </w:tbl>
    <w:p w14:paraId="709F3323" w14:textId="77777777" w:rsidR="00B5173F" w:rsidRDefault="00B5173F" w:rsidP="00B5173F">
      <w:pPr>
        <w:spacing w:after="0" w:line="240" w:lineRule="auto"/>
        <w:jc w:val="both"/>
        <w:rPr>
          <w:rFonts w:ascii="Arial" w:eastAsia="Calibri" w:hAnsi="Arial" w:cs="Arial"/>
        </w:rPr>
      </w:pPr>
    </w:p>
    <w:p w14:paraId="2679C685" w14:textId="77777777" w:rsidR="00B5173F" w:rsidRDefault="00B5173F" w:rsidP="00B5173F">
      <w:pPr>
        <w:spacing w:after="0" w:line="240" w:lineRule="auto"/>
        <w:jc w:val="both"/>
        <w:rPr>
          <w:rFonts w:ascii="Arial" w:eastAsia="Calibri" w:hAnsi="Arial" w:cs="Arial"/>
        </w:rPr>
      </w:pPr>
    </w:p>
    <w:p w14:paraId="7B937BB4" w14:textId="77777777" w:rsidR="00B5173F" w:rsidRDefault="00B5173F" w:rsidP="00B5173F">
      <w:pPr>
        <w:spacing w:after="0" w:line="240" w:lineRule="auto"/>
        <w:jc w:val="both"/>
        <w:rPr>
          <w:rFonts w:ascii="Arial" w:eastAsia="Calibri" w:hAnsi="Arial" w:cs="Arial"/>
          <w:b/>
        </w:rPr>
      </w:pPr>
    </w:p>
    <w:p w14:paraId="22578CA4" w14:textId="77777777" w:rsidR="00963E88" w:rsidRDefault="00963E88" w:rsidP="00B5173F">
      <w:pPr>
        <w:spacing w:after="0" w:line="360" w:lineRule="auto"/>
        <w:jc w:val="both"/>
        <w:rPr>
          <w:rFonts w:ascii="Arial" w:eastAsia="Calibri" w:hAnsi="Arial" w:cs="Arial"/>
          <w:b/>
          <w:sz w:val="24"/>
          <w:szCs w:val="24"/>
        </w:rPr>
      </w:pPr>
    </w:p>
    <w:p w14:paraId="63FDB22F" w14:textId="13BB3317" w:rsidR="00B5173F" w:rsidRDefault="00B5173F" w:rsidP="00484865">
      <w:pPr>
        <w:spacing w:after="0" w:line="360" w:lineRule="auto"/>
        <w:ind w:left="-397"/>
        <w:jc w:val="both"/>
        <w:rPr>
          <w:rFonts w:ascii="Arial" w:eastAsia="Calibri" w:hAnsi="Arial" w:cs="Arial"/>
          <w:b/>
          <w:sz w:val="24"/>
          <w:szCs w:val="24"/>
        </w:rPr>
      </w:pPr>
      <w:r w:rsidRPr="00FF5C35">
        <w:rPr>
          <w:rFonts w:ascii="Arial" w:eastAsia="Calibri" w:hAnsi="Arial" w:cs="Arial"/>
          <w:b/>
          <w:sz w:val="24"/>
          <w:szCs w:val="24"/>
        </w:rPr>
        <w:t>5. Bases de Preparación de los Estados Financieros:</w:t>
      </w:r>
    </w:p>
    <w:p w14:paraId="0FA3C616" w14:textId="77777777" w:rsidR="00963E88" w:rsidRPr="00FF5C35" w:rsidRDefault="00963E88" w:rsidP="00484865">
      <w:pPr>
        <w:spacing w:after="0" w:line="360" w:lineRule="auto"/>
        <w:ind w:left="-397"/>
        <w:jc w:val="both"/>
        <w:rPr>
          <w:rFonts w:ascii="Arial" w:eastAsia="Calibri" w:hAnsi="Arial" w:cs="Arial"/>
          <w:b/>
          <w:sz w:val="24"/>
          <w:szCs w:val="24"/>
        </w:rPr>
      </w:pPr>
    </w:p>
    <w:p w14:paraId="0215F619" w14:textId="7E3F47A1" w:rsidR="00B5173F" w:rsidRPr="004A4A1C" w:rsidRDefault="00B5173F" w:rsidP="00484865">
      <w:pPr>
        <w:numPr>
          <w:ilvl w:val="0"/>
          <w:numId w:val="13"/>
        </w:numPr>
        <w:spacing w:after="0" w:line="360" w:lineRule="auto"/>
        <w:ind w:left="530"/>
        <w:contextualSpacing/>
        <w:jc w:val="both"/>
        <w:rPr>
          <w:rFonts w:ascii="Arial" w:eastAsia="Calibri" w:hAnsi="Arial" w:cs="Arial"/>
          <w:sz w:val="24"/>
          <w:szCs w:val="24"/>
        </w:rPr>
      </w:pPr>
      <w:r w:rsidRPr="00FF5C35">
        <w:rPr>
          <w:rFonts w:ascii="Arial" w:eastAsia="Calibri" w:hAnsi="Arial" w:cs="Arial"/>
          <w:sz w:val="24"/>
          <w:szCs w:val="24"/>
        </w:rPr>
        <w:t>Los Estados Financieros del Poder Ejecutivo de la entidad se han elaborado observando las normas emitidas por el Consejo Nacional de Armonización Contable, el Manual de Contabilidad Gubernamental y las disposiciones legales aplicables.</w:t>
      </w:r>
    </w:p>
    <w:p w14:paraId="43F81A3A" w14:textId="53AE2389" w:rsidR="00B5173F" w:rsidRPr="004A4A1C" w:rsidRDefault="00B5173F" w:rsidP="002E3620">
      <w:pPr>
        <w:numPr>
          <w:ilvl w:val="0"/>
          <w:numId w:val="13"/>
        </w:numPr>
        <w:spacing w:after="0" w:line="360" w:lineRule="auto"/>
        <w:ind w:left="530"/>
        <w:contextualSpacing/>
        <w:jc w:val="both"/>
        <w:rPr>
          <w:rFonts w:ascii="Arial" w:eastAsia="Calibri" w:hAnsi="Arial" w:cs="Arial"/>
          <w:b/>
          <w:sz w:val="24"/>
          <w:szCs w:val="24"/>
        </w:rPr>
      </w:pPr>
      <w:r w:rsidRPr="00FF5C35">
        <w:rPr>
          <w:rFonts w:ascii="Arial" w:eastAsia="Calibri" w:hAnsi="Arial" w:cs="Arial"/>
          <w:sz w:val="24"/>
          <w:szCs w:val="24"/>
        </w:rPr>
        <w:t>El reconocimiento se realizó considerando que todos los eventos que afectaron económicamente a</w:t>
      </w:r>
      <w:r w:rsidR="005E4B16">
        <w:rPr>
          <w:rFonts w:ascii="Arial" w:eastAsia="Calibri" w:hAnsi="Arial" w:cs="Arial"/>
          <w:sz w:val="24"/>
          <w:szCs w:val="24"/>
        </w:rPr>
        <w:t xml:space="preserve"> la </w:t>
      </w:r>
      <w:r w:rsidR="003D2088">
        <w:rPr>
          <w:rFonts w:ascii="Arial" w:eastAsia="Calibri" w:hAnsi="Arial" w:cs="Arial"/>
          <w:sz w:val="24"/>
          <w:szCs w:val="24"/>
        </w:rPr>
        <w:t>Institución</w:t>
      </w:r>
      <w:r w:rsidRPr="00FF5C35">
        <w:rPr>
          <w:rFonts w:ascii="Arial" w:eastAsia="Calibri" w:hAnsi="Arial" w:cs="Arial"/>
          <w:sz w:val="24"/>
          <w:szCs w:val="24"/>
        </w:rPr>
        <w:t xml:space="preserve"> fueron cuantificados en términos monetarios y se registraron al costo histórico o al valor económico más objetivo y en moneda nacional. </w:t>
      </w:r>
    </w:p>
    <w:p w14:paraId="15C4CE11" w14:textId="5B7F9590" w:rsidR="00B5173F" w:rsidRPr="004A4A1C" w:rsidRDefault="00B5173F" w:rsidP="002E3620">
      <w:pPr>
        <w:numPr>
          <w:ilvl w:val="0"/>
          <w:numId w:val="13"/>
        </w:numPr>
        <w:spacing w:after="0" w:line="360" w:lineRule="auto"/>
        <w:ind w:left="530"/>
        <w:contextualSpacing/>
        <w:jc w:val="both"/>
        <w:rPr>
          <w:rFonts w:ascii="Arial" w:eastAsia="Calibri" w:hAnsi="Arial" w:cs="Arial"/>
          <w:b/>
          <w:sz w:val="24"/>
          <w:szCs w:val="24"/>
        </w:rPr>
      </w:pPr>
      <w:r w:rsidRPr="00FF5C35">
        <w:rPr>
          <w:rFonts w:ascii="Arial" w:eastAsia="Calibri" w:hAnsi="Arial" w:cs="Arial"/>
          <w:spacing w:val="-1"/>
          <w:sz w:val="24"/>
          <w:szCs w:val="24"/>
        </w:rPr>
        <w:t xml:space="preserve">Los Estados Financieros del Poder Ejecutivo fueron preparados en apego a los Postulados Básicos de Contabilidad Gubernamental </w:t>
      </w:r>
      <w:r w:rsidR="00FD4F86">
        <w:rPr>
          <w:rFonts w:ascii="Arial" w:eastAsia="Calibri" w:hAnsi="Arial" w:cs="Arial"/>
          <w:spacing w:val="-1"/>
          <w:sz w:val="24"/>
          <w:szCs w:val="24"/>
        </w:rPr>
        <w:t xml:space="preserve">y demás documentos </w:t>
      </w:r>
      <w:r w:rsidR="00FD4F86">
        <w:rPr>
          <w:rFonts w:ascii="Arial" w:eastAsia="Calibri" w:hAnsi="Arial" w:cs="Arial"/>
          <w:spacing w:val="-1"/>
          <w:sz w:val="24"/>
          <w:szCs w:val="24"/>
        </w:rPr>
        <w:lastRenderedPageBreak/>
        <w:t xml:space="preserve">normativos </w:t>
      </w:r>
      <w:r w:rsidRPr="00FF5C35">
        <w:rPr>
          <w:rFonts w:ascii="Arial" w:eastAsia="Calibri" w:hAnsi="Arial" w:cs="Arial"/>
          <w:spacing w:val="-1"/>
          <w:sz w:val="24"/>
          <w:szCs w:val="24"/>
        </w:rPr>
        <w:t>emitidos por el Consejo Nacional de Armonización Contable aplicable</w:t>
      </w:r>
      <w:r w:rsidR="00FD4F86">
        <w:rPr>
          <w:rFonts w:ascii="Arial" w:eastAsia="Calibri" w:hAnsi="Arial" w:cs="Arial"/>
          <w:spacing w:val="-1"/>
          <w:sz w:val="24"/>
          <w:szCs w:val="24"/>
        </w:rPr>
        <w:t>s</w:t>
      </w:r>
      <w:r w:rsidRPr="00FF5C35">
        <w:rPr>
          <w:rFonts w:ascii="Arial" w:eastAsia="Calibri" w:hAnsi="Arial" w:cs="Arial"/>
          <w:spacing w:val="-1"/>
          <w:sz w:val="24"/>
          <w:szCs w:val="24"/>
        </w:rPr>
        <w:t xml:space="preserve"> en la materia.</w:t>
      </w:r>
    </w:p>
    <w:p w14:paraId="49B0CD50" w14:textId="02EFCBA7" w:rsidR="00B5173F" w:rsidRPr="004A4A1C" w:rsidRDefault="00B5173F" w:rsidP="002E3620">
      <w:pPr>
        <w:numPr>
          <w:ilvl w:val="0"/>
          <w:numId w:val="13"/>
        </w:numPr>
        <w:spacing w:after="0" w:line="360" w:lineRule="auto"/>
        <w:ind w:left="530"/>
        <w:contextualSpacing/>
        <w:jc w:val="both"/>
        <w:rPr>
          <w:rFonts w:ascii="Arial" w:eastAsia="Calibri" w:hAnsi="Arial" w:cs="Arial"/>
          <w:sz w:val="24"/>
          <w:szCs w:val="24"/>
        </w:rPr>
      </w:pPr>
      <w:r w:rsidRPr="00FF5C35">
        <w:rPr>
          <w:rFonts w:ascii="Arial" w:eastAsia="Calibri" w:hAnsi="Arial" w:cs="Arial"/>
          <w:sz w:val="24"/>
          <w:szCs w:val="24"/>
        </w:rPr>
        <w:t>Normatividad supletoria. No aplica.</w:t>
      </w:r>
    </w:p>
    <w:p w14:paraId="792042B7" w14:textId="2B45A238" w:rsidR="00B5173F" w:rsidRDefault="00B5173F" w:rsidP="002E3620">
      <w:pPr>
        <w:numPr>
          <w:ilvl w:val="0"/>
          <w:numId w:val="13"/>
        </w:numPr>
        <w:spacing w:after="0" w:line="360" w:lineRule="auto"/>
        <w:ind w:left="530"/>
        <w:contextualSpacing/>
        <w:jc w:val="both"/>
        <w:rPr>
          <w:rFonts w:ascii="Arial" w:eastAsia="Calibri" w:hAnsi="Arial" w:cs="Arial"/>
          <w:sz w:val="24"/>
          <w:szCs w:val="24"/>
        </w:rPr>
      </w:pPr>
      <w:r w:rsidRPr="00FF5C35">
        <w:rPr>
          <w:rFonts w:ascii="Arial" w:eastAsia="Calibri" w:hAnsi="Arial" w:cs="Arial"/>
          <w:sz w:val="24"/>
          <w:szCs w:val="24"/>
        </w:rPr>
        <w:t xml:space="preserve">Para las entidades que por primera vez estén implementando la base del devengado de acuerdo con la Ley </w:t>
      </w:r>
      <w:r w:rsidR="006A736B">
        <w:rPr>
          <w:rFonts w:ascii="Arial" w:eastAsia="Calibri" w:hAnsi="Arial" w:cs="Arial"/>
          <w:sz w:val="24"/>
          <w:szCs w:val="24"/>
        </w:rPr>
        <w:t xml:space="preserve">General </w:t>
      </w:r>
      <w:r w:rsidRPr="00FF5C35">
        <w:rPr>
          <w:rFonts w:ascii="Arial" w:eastAsia="Calibri" w:hAnsi="Arial" w:cs="Arial"/>
          <w:sz w:val="24"/>
          <w:szCs w:val="24"/>
        </w:rPr>
        <w:t>de Contabilidad, deberán:</w:t>
      </w:r>
    </w:p>
    <w:p w14:paraId="296D08AD" w14:textId="77777777" w:rsidR="005E6FC3" w:rsidRPr="004A4A1C" w:rsidRDefault="005E6FC3" w:rsidP="002E3620">
      <w:pPr>
        <w:spacing w:after="0" w:line="360" w:lineRule="auto"/>
        <w:ind w:left="-170"/>
        <w:contextualSpacing/>
        <w:jc w:val="both"/>
        <w:rPr>
          <w:rFonts w:ascii="Arial" w:eastAsia="Calibri" w:hAnsi="Arial" w:cs="Arial"/>
          <w:sz w:val="24"/>
          <w:szCs w:val="24"/>
        </w:rPr>
      </w:pPr>
    </w:p>
    <w:p w14:paraId="31D35702" w14:textId="77777777" w:rsidR="004A4A1C" w:rsidRDefault="004A4A1C" w:rsidP="00484865">
      <w:pPr>
        <w:spacing w:after="0" w:line="360" w:lineRule="auto"/>
        <w:ind w:left="-397"/>
        <w:jc w:val="both"/>
        <w:rPr>
          <w:rFonts w:ascii="Arial" w:eastAsia="Calibri" w:hAnsi="Arial" w:cs="Arial"/>
          <w:sz w:val="24"/>
          <w:szCs w:val="24"/>
        </w:rPr>
      </w:pPr>
    </w:p>
    <w:p w14:paraId="65AC6A5A" w14:textId="7C85BDE8" w:rsidR="00B5173F" w:rsidRPr="00FF5C35" w:rsidRDefault="00B5173F" w:rsidP="002E3620">
      <w:pPr>
        <w:spacing w:after="0" w:line="360" w:lineRule="auto"/>
        <w:ind w:left="170"/>
        <w:jc w:val="both"/>
        <w:rPr>
          <w:rFonts w:ascii="Arial" w:eastAsia="Calibri" w:hAnsi="Arial" w:cs="Arial"/>
          <w:sz w:val="24"/>
          <w:szCs w:val="24"/>
        </w:rPr>
      </w:pPr>
      <w:r w:rsidRPr="00FF5C35">
        <w:rPr>
          <w:rFonts w:ascii="Arial" w:eastAsia="Calibri" w:hAnsi="Arial" w:cs="Arial"/>
          <w:sz w:val="24"/>
          <w:szCs w:val="24"/>
        </w:rPr>
        <w:t>*Revelar las nuevas políticas de reconocimiento: No aplica.</w:t>
      </w:r>
    </w:p>
    <w:p w14:paraId="2278F2E9" w14:textId="77777777" w:rsidR="00B5173F" w:rsidRPr="00FF5C35" w:rsidRDefault="00B5173F" w:rsidP="002E3620">
      <w:pPr>
        <w:spacing w:after="0" w:line="360" w:lineRule="auto"/>
        <w:ind w:left="170"/>
        <w:jc w:val="both"/>
        <w:rPr>
          <w:rFonts w:ascii="Arial" w:eastAsia="Calibri" w:hAnsi="Arial" w:cs="Arial"/>
          <w:sz w:val="24"/>
          <w:szCs w:val="24"/>
        </w:rPr>
      </w:pPr>
      <w:r w:rsidRPr="00FF5C35">
        <w:rPr>
          <w:rFonts w:ascii="Arial" w:eastAsia="Calibri" w:hAnsi="Arial" w:cs="Arial"/>
          <w:sz w:val="24"/>
          <w:szCs w:val="24"/>
        </w:rPr>
        <w:t>*Plan de implementación: No aplica.</w:t>
      </w:r>
    </w:p>
    <w:p w14:paraId="150BA3EC" w14:textId="77777777" w:rsidR="00B5173F" w:rsidRPr="00FF5C35" w:rsidRDefault="00B5173F" w:rsidP="002E3620">
      <w:pPr>
        <w:spacing w:after="0" w:line="360" w:lineRule="auto"/>
        <w:ind w:left="170"/>
        <w:jc w:val="both"/>
        <w:rPr>
          <w:rFonts w:ascii="Arial" w:eastAsia="Calibri" w:hAnsi="Arial" w:cs="Arial"/>
          <w:sz w:val="24"/>
          <w:szCs w:val="24"/>
        </w:rPr>
      </w:pPr>
      <w:r w:rsidRPr="00FF5C35">
        <w:rPr>
          <w:rFonts w:ascii="Arial" w:eastAsia="Calibri" w:hAnsi="Arial" w:cs="Arial"/>
          <w:sz w:val="24"/>
          <w:szCs w:val="24"/>
        </w:rPr>
        <w:t>*Revelar los cambios en las políticas, la clasificación y medición de las mismas, así como su impacto en la información financiera: No aplica.</w:t>
      </w:r>
    </w:p>
    <w:p w14:paraId="711B836B" w14:textId="77777777" w:rsidR="00B5173F" w:rsidRPr="00FF5C35" w:rsidRDefault="00B5173F" w:rsidP="00484865">
      <w:pPr>
        <w:spacing w:after="0" w:line="360" w:lineRule="auto"/>
        <w:ind w:left="-397"/>
        <w:jc w:val="both"/>
        <w:rPr>
          <w:rFonts w:ascii="Arial" w:eastAsia="Calibri" w:hAnsi="Arial" w:cs="Arial"/>
        </w:rPr>
      </w:pPr>
    </w:p>
    <w:p w14:paraId="478D8EEA" w14:textId="77777777" w:rsidR="00B5173F" w:rsidRPr="00FF5C35" w:rsidRDefault="00B5173F" w:rsidP="00484865">
      <w:pPr>
        <w:spacing w:after="0" w:line="360" w:lineRule="auto"/>
        <w:ind w:left="-397"/>
        <w:jc w:val="both"/>
        <w:rPr>
          <w:rFonts w:ascii="Arial" w:eastAsia="Calibri" w:hAnsi="Arial" w:cs="Arial"/>
          <w:b/>
        </w:rPr>
      </w:pPr>
      <w:r w:rsidRPr="00FF5C35">
        <w:rPr>
          <w:rFonts w:ascii="Arial" w:eastAsia="Calibri" w:hAnsi="Arial" w:cs="Arial"/>
          <w:b/>
        </w:rPr>
        <w:t>6. Políticas de Contabilidad Significativas:</w:t>
      </w:r>
    </w:p>
    <w:p w14:paraId="1CB08858" w14:textId="77777777" w:rsidR="00B5173F" w:rsidRPr="00FF5C35" w:rsidRDefault="00B5173F" w:rsidP="002E3620">
      <w:pPr>
        <w:spacing w:after="0" w:line="360" w:lineRule="auto"/>
        <w:ind w:left="170"/>
        <w:jc w:val="both"/>
        <w:rPr>
          <w:rFonts w:ascii="Arial" w:eastAsia="Calibri" w:hAnsi="Arial" w:cs="Arial"/>
          <w:sz w:val="24"/>
          <w:szCs w:val="24"/>
        </w:rPr>
      </w:pPr>
      <w:r w:rsidRPr="00FF5C35">
        <w:rPr>
          <w:rFonts w:ascii="Arial" w:eastAsia="Calibri" w:hAnsi="Arial" w:cs="Arial"/>
          <w:sz w:val="24"/>
          <w:szCs w:val="24"/>
        </w:rPr>
        <w:t>Se informará sobre:</w:t>
      </w:r>
    </w:p>
    <w:p w14:paraId="1DF24952" w14:textId="79C2C4D8" w:rsidR="00B5173F" w:rsidRPr="004A4A1C" w:rsidRDefault="00B5173F" w:rsidP="002E3620">
      <w:pPr>
        <w:pStyle w:val="Prrafodelista"/>
        <w:numPr>
          <w:ilvl w:val="0"/>
          <w:numId w:val="15"/>
        </w:numPr>
        <w:spacing w:after="0" w:line="360" w:lineRule="auto"/>
        <w:ind w:left="170"/>
        <w:jc w:val="both"/>
        <w:rPr>
          <w:rFonts w:ascii="Arial" w:hAnsi="Arial" w:cs="Arial"/>
          <w:sz w:val="24"/>
          <w:szCs w:val="24"/>
        </w:rPr>
      </w:pPr>
      <w:r w:rsidRPr="005805A6">
        <w:rPr>
          <w:rFonts w:ascii="Arial" w:hAnsi="Arial" w:cs="Arial"/>
          <w:sz w:val="24"/>
          <w:szCs w:val="24"/>
        </w:rPr>
        <w:t>Actualización: No aplica.</w:t>
      </w:r>
    </w:p>
    <w:p w14:paraId="06B8EFC3" w14:textId="514CD9D2" w:rsidR="00B5173F" w:rsidRPr="004A4A1C" w:rsidRDefault="00B5173F" w:rsidP="002E3620">
      <w:pPr>
        <w:pStyle w:val="Prrafodelista"/>
        <w:numPr>
          <w:ilvl w:val="0"/>
          <w:numId w:val="15"/>
        </w:numPr>
        <w:spacing w:after="0" w:line="360" w:lineRule="auto"/>
        <w:ind w:left="170"/>
        <w:jc w:val="both"/>
        <w:rPr>
          <w:rFonts w:ascii="Arial" w:hAnsi="Arial" w:cs="Arial"/>
          <w:sz w:val="24"/>
          <w:szCs w:val="24"/>
        </w:rPr>
      </w:pPr>
      <w:r w:rsidRPr="005805A6">
        <w:rPr>
          <w:rFonts w:ascii="Arial" w:hAnsi="Arial" w:cs="Arial"/>
          <w:sz w:val="24"/>
          <w:szCs w:val="24"/>
        </w:rPr>
        <w:t>Beneficios a empleados: No aplica.</w:t>
      </w:r>
    </w:p>
    <w:p w14:paraId="529ADCC1" w14:textId="15A0BE52" w:rsidR="00B5173F" w:rsidRPr="004A4A1C" w:rsidRDefault="00B5173F" w:rsidP="002E3620">
      <w:pPr>
        <w:pStyle w:val="Prrafodelista"/>
        <w:numPr>
          <w:ilvl w:val="0"/>
          <w:numId w:val="15"/>
        </w:numPr>
        <w:spacing w:after="0" w:line="360" w:lineRule="auto"/>
        <w:ind w:left="170"/>
        <w:jc w:val="both"/>
        <w:rPr>
          <w:rFonts w:ascii="Arial" w:hAnsi="Arial" w:cs="Arial"/>
          <w:sz w:val="24"/>
          <w:szCs w:val="24"/>
        </w:rPr>
      </w:pPr>
      <w:r w:rsidRPr="005805A6">
        <w:rPr>
          <w:rFonts w:ascii="Arial" w:hAnsi="Arial" w:cs="Arial"/>
          <w:sz w:val="24"/>
          <w:szCs w:val="24"/>
        </w:rPr>
        <w:t>Provisiones: No se crearon provisiones.</w:t>
      </w:r>
    </w:p>
    <w:p w14:paraId="7FCFB89F" w14:textId="61839902" w:rsidR="00B5173F" w:rsidRPr="004A4A1C" w:rsidRDefault="00B5173F" w:rsidP="002E3620">
      <w:pPr>
        <w:pStyle w:val="Prrafodelista"/>
        <w:numPr>
          <w:ilvl w:val="0"/>
          <w:numId w:val="15"/>
        </w:numPr>
        <w:spacing w:after="0" w:line="360" w:lineRule="auto"/>
        <w:ind w:left="170"/>
        <w:jc w:val="both"/>
        <w:rPr>
          <w:rFonts w:ascii="Arial" w:hAnsi="Arial" w:cs="Arial"/>
          <w:sz w:val="24"/>
          <w:szCs w:val="24"/>
        </w:rPr>
      </w:pPr>
      <w:r w:rsidRPr="005805A6">
        <w:rPr>
          <w:rFonts w:ascii="Arial" w:hAnsi="Arial" w:cs="Arial"/>
          <w:sz w:val="24"/>
          <w:szCs w:val="24"/>
        </w:rPr>
        <w:t>Reservas: No se crearon reservas.</w:t>
      </w:r>
    </w:p>
    <w:p w14:paraId="6A3BC6D7" w14:textId="642989A4" w:rsidR="00B5173F" w:rsidRPr="004A4A1C" w:rsidRDefault="00B5173F" w:rsidP="002E3620">
      <w:pPr>
        <w:pStyle w:val="Prrafodelista"/>
        <w:numPr>
          <w:ilvl w:val="0"/>
          <w:numId w:val="15"/>
        </w:numPr>
        <w:spacing w:after="0" w:line="360" w:lineRule="auto"/>
        <w:ind w:left="170"/>
        <w:jc w:val="both"/>
        <w:rPr>
          <w:rFonts w:ascii="Arial" w:hAnsi="Arial" w:cs="Arial"/>
          <w:sz w:val="24"/>
          <w:szCs w:val="24"/>
        </w:rPr>
      </w:pPr>
      <w:r w:rsidRPr="005805A6">
        <w:rPr>
          <w:rFonts w:ascii="Arial" w:hAnsi="Arial" w:cs="Arial"/>
          <w:sz w:val="24"/>
          <w:szCs w:val="24"/>
        </w:rPr>
        <w:t>Cambios en políticas contables: No aplica.</w:t>
      </w:r>
    </w:p>
    <w:p w14:paraId="71A27C85" w14:textId="78EAE6D4" w:rsidR="00B5173F" w:rsidRPr="004A4A1C" w:rsidRDefault="00B5173F" w:rsidP="002E3620">
      <w:pPr>
        <w:pStyle w:val="Prrafodelista"/>
        <w:numPr>
          <w:ilvl w:val="0"/>
          <w:numId w:val="14"/>
        </w:numPr>
        <w:spacing w:after="0" w:line="360" w:lineRule="auto"/>
        <w:ind w:left="170"/>
        <w:jc w:val="both"/>
        <w:rPr>
          <w:rFonts w:ascii="Arial" w:hAnsi="Arial" w:cs="Arial"/>
          <w:sz w:val="24"/>
          <w:szCs w:val="24"/>
        </w:rPr>
      </w:pPr>
      <w:r w:rsidRPr="005805A6">
        <w:rPr>
          <w:rFonts w:ascii="Arial" w:hAnsi="Arial" w:cs="Arial"/>
          <w:sz w:val="24"/>
          <w:szCs w:val="24"/>
        </w:rPr>
        <w:t>Reclasificaciones: No se realizaron reclasificaciones.</w:t>
      </w:r>
    </w:p>
    <w:p w14:paraId="018FEE29" w14:textId="77777777" w:rsidR="00B5173F" w:rsidRPr="005805A6" w:rsidRDefault="00B5173F" w:rsidP="002E3620">
      <w:pPr>
        <w:pStyle w:val="Prrafodelista"/>
        <w:numPr>
          <w:ilvl w:val="0"/>
          <w:numId w:val="14"/>
        </w:numPr>
        <w:spacing w:after="0" w:line="360" w:lineRule="auto"/>
        <w:ind w:left="170"/>
        <w:jc w:val="both"/>
        <w:rPr>
          <w:rFonts w:ascii="Arial" w:hAnsi="Arial" w:cs="Arial"/>
          <w:sz w:val="24"/>
          <w:szCs w:val="24"/>
        </w:rPr>
      </w:pPr>
      <w:r w:rsidRPr="005805A6">
        <w:rPr>
          <w:rFonts w:ascii="Arial" w:hAnsi="Arial" w:cs="Arial"/>
          <w:sz w:val="24"/>
          <w:szCs w:val="24"/>
        </w:rPr>
        <w:t>Depuración y cancelación de saldos: No se realizaron durante el periodo.</w:t>
      </w:r>
    </w:p>
    <w:p w14:paraId="09B0477B" w14:textId="77777777" w:rsidR="00B5173F" w:rsidRDefault="00B5173F" w:rsidP="002E3620">
      <w:pPr>
        <w:spacing w:after="0" w:line="360" w:lineRule="auto"/>
        <w:ind w:left="170"/>
        <w:jc w:val="both"/>
        <w:rPr>
          <w:rFonts w:ascii="Arial" w:eastAsia="Calibri" w:hAnsi="Arial" w:cs="Arial"/>
        </w:rPr>
      </w:pPr>
    </w:p>
    <w:p w14:paraId="5E53B8E2" w14:textId="77777777" w:rsidR="00D3528F" w:rsidRPr="00FF5C35" w:rsidRDefault="00D3528F" w:rsidP="00484865">
      <w:pPr>
        <w:spacing w:after="0" w:line="360" w:lineRule="auto"/>
        <w:ind w:left="-397"/>
        <w:jc w:val="both"/>
        <w:rPr>
          <w:rFonts w:ascii="Arial" w:eastAsia="Calibri" w:hAnsi="Arial" w:cs="Arial"/>
        </w:rPr>
      </w:pPr>
    </w:p>
    <w:p w14:paraId="4AB2F015" w14:textId="77777777" w:rsidR="00B5173F" w:rsidRPr="00FF5C35" w:rsidRDefault="00B5173F" w:rsidP="00484865">
      <w:pPr>
        <w:spacing w:after="0" w:line="360" w:lineRule="auto"/>
        <w:ind w:left="-397"/>
        <w:jc w:val="both"/>
        <w:rPr>
          <w:rFonts w:ascii="Arial" w:eastAsia="Calibri" w:hAnsi="Arial" w:cs="Arial"/>
        </w:rPr>
      </w:pPr>
      <w:r w:rsidRPr="00FF5C35">
        <w:rPr>
          <w:rFonts w:ascii="Arial" w:eastAsia="Calibri" w:hAnsi="Arial" w:cs="Arial"/>
          <w:b/>
        </w:rPr>
        <w:t>7. Posición en Moneda Extranjera y Protección por Riesgo Cambiario:</w:t>
      </w:r>
      <w:r w:rsidRPr="00FF5C35">
        <w:rPr>
          <w:rFonts w:ascii="Arial" w:eastAsia="Calibri" w:hAnsi="Arial" w:cs="Arial"/>
        </w:rPr>
        <w:t xml:space="preserve"> No aplica.</w:t>
      </w:r>
    </w:p>
    <w:p w14:paraId="4DB13606" w14:textId="77777777" w:rsidR="00B5173F" w:rsidRDefault="00B5173F" w:rsidP="00484865">
      <w:pPr>
        <w:spacing w:after="0" w:line="360" w:lineRule="auto"/>
        <w:ind w:left="-397"/>
        <w:jc w:val="both"/>
        <w:rPr>
          <w:rFonts w:ascii="Arial" w:eastAsia="Calibri" w:hAnsi="Arial" w:cs="Arial"/>
          <w:b/>
        </w:rPr>
      </w:pPr>
    </w:p>
    <w:p w14:paraId="227264FD" w14:textId="77777777" w:rsidR="00B5173F" w:rsidRPr="00FF5C35" w:rsidRDefault="00B5173F" w:rsidP="00484865">
      <w:pPr>
        <w:spacing w:after="0" w:line="360" w:lineRule="auto"/>
        <w:ind w:left="-397"/>
        <w:jc w:val="both"/>
        <w:rPr>
          <w:rFonts w:ascii="Arial" w:eastAsia="Calibri" w:hAnsi="Arial" w:cs="Arial"/>
          <w:b/>
        </w:rPr>
      </w:pPr>
      <w:r w:rsidRPr="00FF5C35">
        <w:rPr>
          <w:rFonts w:ascii="Arial" w:eastAsia="Calibri" w:hAnsi="Arial" w:cs="Arial"/>
          <w:b/>
        </w:rPr>
        <w:t>8. Reporte Analítico del Activo:</w:t>
      </w:r>
    </w:p>
    <w:p w14:paraId="19990B77" w14:textId="77777777" w:rsidR="00B5173F" w:rsidRPr="00FF5C35" w:rsidRDefault="00B5173F" w:rsidP="00484865">
      <w:pPr>
        <w:spacing w:after="0" w:line="360" w:lineRule="auto"/>
        <w:ind w:left="-397"/>
        <w:jc w:val="both"/>
        <w:rPr>
          <w:rFonts w:ascii="Arial" w:eastAsia="Calibri" w:hAnsi="Arial" w:cs="Arial"/>
          <w:sz w:val="24"/>
          <w:szCs w:val="24"/>
        </w:rPr>
      </w:pPr>
      <w:r w:rsidRPr="00FF5C35">
        <w:rPr>
          <w:rFonts w:ascii="Arial" w:eastAsia="Calibri" w:hAnsi="Arial" w:cs="Arial"/>
          <w:sz w:val="24"/>
          <w:szCs w:val="24"/>
        </w:rPr>
        <w:t>Debe mostrar la siguiente información:</w:t>
      </w:r>
    </w:p>
    <w:p w14:paraId="48B51C8E" w14:textId="6EB63F5A" w:rsidR="00B5173F" w:rsidRPr="004A4A1C" w:rsidRDefault="00B5173F" w:rsidP="00484865">
      <w:pPr>
        <w:spacing w:after="0" w:line="360" w:lineRule="auto"/>
        <w:ind w:left="-397"/>
        <w:jc w:val="both"/>
        <w:rPr>
          <w:rFonts w:ascii="Arial" w:eastAsia="Calibri" w:hAnsi="Arial" w:cs="Arial"/>
          <w:sz w:val="24"/>
          <w:szCs w:val="24"/>
        </w:rPr>
      </w:pPr>
      <w:r w:rsidRPr="00FF5C35">
        <w:rPr>
          <w:rFonts w:ascii="Arial" w:eastAsia="Calibri" w:hAnsi="Arial" w:cs="Arial"/>
          <w:b/>
          <w:sz w:val="24"/>
          <w:szCs w:val="24"/>
        </w:rPr>
        <w:t>a)</w:t>
      </w:r>
      <w:r w:rsidRPr="00FF5C35">
        <w:rPr>
          <w:rFonts w:ascii="Arial" w:eastAsia="Calibri" w:hAnsi="Arial" w:cs="Arial"/>
          <w:sz w:val="24"/>
          <w:szCs w:val="24"/>
        </w:rPr>
        <w:t xml:space="preserve"> Vida útil o porcentajes de depreciación, deterioro o amortización utilizados en los diferentes tipos de activos: Sin movimiento.</w:t>
      </w:r>
    </w:p>
    <w:p w14:paraId="37D4F9EF" w14:textId="60A95A0D" w:rsidR="00B5173F" w:rsidRPr="00FF5C35" w:rsidRDefault="00B5173F" w:rsidP="00484865">
      <w:pPr>
        <w:spacing w:after="0" w:line="360" w:lineRule="auto"/>
        <w:ind w:left="-397"/>
        <w:jc w:val="both"/>
        <w:rPr>
          <w:rFonts w:ascii="Arial" w:eastAsia="Calibri" w:hAnsi="Arial" w:cs="Arial"/>
          <w:sz w:val="24"/>
          <w:szCs w:val="24"/>
        </w:rPr>
      </w:pPr>
      <w:r w:rsidRPr="00FF5C35">
        <w:rPr>
          <w:rFonts w:ascii="Arial" w:eastAsia="Calibri" w:hAnsi="Arial" w:cs="Arial"/>
          <w:b/>
          <w:sz w:val="24"/>
          <w:szCs w:val="24"/>
        </w:rPr>
        <w:t>b)</w:t>
      </w:r>
      <w:r w:rsidRPr="00FF5C35">
        <w:rPr>
          <w:rFonts w:ascii="Arial" w:eastAsia="Calibri" w:hAnsi="Arial" w:cs="Arial"/>
          <w:sz w:val="24"/>
          <w:szCs w:val="24"/>
        </w:rPr>
        <w:t xml:space="preserve"> Cambios en el porcentaje de depreciación o valor residual de los activos: </w:t>
      </w:r>
      <w:r>
        <w:rPr>
          <w:rFonts w:ascii="Arial" w:eastAsia="Calibri" w:hAnsi="Arial" w:cs="Arial"/>
          <w:sz w:val="24"/>
          <w:szCs w:val="24"/>
        </w:rPr>
        <w:t>Sin movimiento</w:t>
      </w:r>
      <w:r w:rsidRPr="00FF5C35">
        <w:rPr>
          <w:rFonts w:ascii="Arial" w:eastAsia="Calibri" w:hAnsi="Arial" w:cs="Arial"/>
          <w:sz w:val="24"/>
          <w:szCs w:val="24"/>
        </w:rPr>
        <w:t>.</w:t>
      </w:r>
    </w:p>
    <w:p w14:paraId="0C8740AB" w14:textId="5BF09663" w:rsidR="00B5173F" w:rsidRPr="00FF5C35" w:rsidRDefault="00B5173F" w:rsidP="00484865">
      <w:pPr>
        <w:spacing w:after="0" w:line="360" w:lineRule="auto"/>
        <w:ind w:left="-397"/>
        <w:jc w:val="both"/>
        <w:rPr>
          <w:rFonts w:ascii="Arial" w:eastAsia="Calibri" w:hAnsi="Arial" w:cs="Arial"/>
          <w:sz w:val="24"/>
          <w:szCs w:val="24"/>
        </w:rPr>
      </w:pPr>
      <w:r w:rsidRPr="00FF5C35">
        <w:rPr>
          <w:rFonts w:ascii="Arial" w:eastAsia="Calibri" w:hAnsi="Arial" w:cs="Arial"/>
          <w:b/>
          <w:sz w:val="24"/>
          <w:szCs w:val="24"/>
        </w:rPr>
        <w:lastRenderedPageBreak/>
        <w:t>c)</w:t>
      </w:r>
      <w:r w:rsidRPr="00FF5C35">
        <w:rPr>
          <w:rFonts w:ascii="Arial" w:eastAsia="Calibri" w:hAnsi="Arial" w:cs="Arial"/>
          <w:sz w:val="24"/>
          <w:szCs w:val="24"/>
        </w:rPr>
        <w:t xml:space="preserve"> Importe de los gastos capitalizados en el ejercicio, tanto financieros como de investigación y desarrollo: Sin movimiento.</w:t>
      </w:r>
    </w:p>
    <w:p w14:paraId="199988D6" w14:textId="37C642DC" w:rsidR="00B5173F" w:rsidRPr="004A4A1C" w:rsidRDefault="00B5173F" w:rsidP="00484865">
      <w:pPr>
        <w:spacing w:after="0" w:line="360" w:lineRule="auto"/>
        <w:ind w:left="-397"/>
        <w:jc w:val="both"/>
        <w:rPr>
          <w:rFonts w:ascii="Arial" w:eastAsia="Calibri" w:hAnsi="Arial" w:cs="Arial"/>
          <w:sz w:val="24"/>
          <w:szCs w:val="24"/>
        </w:rPr>
      </w:pPr>
      <w:r w:rsidRPr="00FF5C35">
        <w:rPr>
          <w:rFonts w:ascii="Arial" w:eastAsia="Calibri" w:hAnsi="Arial" w:cs="Arial"/>
          <w:b/>
          <w:sz w:val="24"/>
          <w:szCs w:val="24"/>
        </w:rPr>
        <w:t>d)</w:t>
      </w:r>
      <w:r w:rsidRPr="00FF5C35">
        <w:rPr>
          <w:rFonts w:ascii="Arial" w:eastAsia="Calibri" w:hAnsi="Arial" w:cs="Arial"/>
          <w:sz w:val="24"/>
          <w:szCs w:val="24"/>
        </w:rPr>
        <w:t xml:space="preserve"> Riesgos por tipo de cambio o tipo de interés de las inversiones financieras: No aplica.</w:t>
      </w:r>
    </w:p>
    <w:p w14:paraId="0A4E31BC" w14:textId="4BFFC52B" w:rsidR="00B5173F" w:rsidRPr="004A4A1C" w:rsidRDefault="00B5173F" w:rsidP="00484865">
      <w:pPr>
        <w:spacing w:after="0" w:line="360" w:lineRule="auto"/>
        <w:ind w:left="-397"/>
        <w:jc w:val="both"/>
        <w:rPr>
          <w:rFonts w:ascii="Arial" w:eastAsia="Calibri" w:hAnsi="Arial" w:cs="Arial"/>
          <w:sz w:val="24"/>
          <w:szCs w:val="24"/>
        </w:rPr>
      </w:pPr>
      <w:r w:rsidRPr="00FF5C35">
        <w:rPr>
          <w:rFonts w:ascii="Arial" w:eastAsia="Calibri" w:hAnsi="Arial" w:cs="Arial"/>
          <w:b/>
          <w:sz w:val="24"/>
          <w:szCs w:val="24"/>
        </w:rPr>
        <w:t xml:space="preserve">e) </w:t>
      </w:r>
      <w:r w:rsidRPr="00FF5C35">
        <w:rPr>
          <w:rFonts w:ascii="Arial" w:eastAsia="Calibri" w:hAnsi="Arial" w:cs="Arial"/>
          <w:sz w:val="24"/>
          <w:szCs w:val="24"/>
        </w:rPr>
        <w:t>Valor activado en el ejercicio de los bienes construidos por la entidad: No aplica.</w:t>
      </w:r>
    </w:p>
    <w:p w14:paraId="6C16496F" w14:textId="66A64CB2" w:rsidR="00B5173F" w:rsidRPr="00FF5C35" w:rsidRDefault="00B5173F" w:rsidP="00484865">
      <w:pPr>
        <w:spacing w:after="0" w:line="360" w:lineRule="auto"/>
        <w:ind w:left="-397"/>
        <w:jc w:val="both"/>
        <w:rPr>
          <w:rFonts w:ascii="Arial" w:eastAsia="Calibri" w:hAnsi="Arial" w:cs="Arial"/>
          <w:sz w:val="24"/>
          <w:szCs w:val="24"/>
        </w:rPr>
      </w:pPr>
      <w:r w:rsidRPr="00FF5C35">
        <w:rPr>
          <w:rFonts w:ascii="Arial" w:eastAsia="Calibri" w:hAnsi="Arial" w:cs="Arial"/>
          <w:b/>
          <w:sz w:val="24"/>
          <w:szCs w:val="24"/>
        </w:rPr>
        <w:t>f)</w:t>
      </w:r>
      <w:r w:rsidRPr="00FF5C35">
        <w:rPr>
          <w:rFonts w:ascii="Arial" w:eastAsia="Calibri" w:hAnsi="Arial" w:cs="Arial"/>
          <w:sz w:val="24"/>
          <w:szCs w:val="24"/>
        </w:rPr>
        <w:t xml:space="preserve"> Otras circunstancias de carácter significativo que afecten el activo, tales como bienes en garantía, señalados en embargos, litigios, títulos de inversiones entregados en garantías, baja significativa del valor de inversiones financieras, etc.: No aplica.</w:t>
      </w:r>
    </w:p>
    <w:p w14:paraId="20D154C3" w14:textId="14D94845" w:rsidR="00B5173F" w:rsidRPr="00FF5C35" w:rsidRDefault="00B5173F" w:rsidP="00484865">
      <w:pPr>
        <w:spacing w:after="0" w:line="360" w:lineRule="auto"/>
        <w:ind w:left="-397"/>
        <w:jc w:val="both"/>
        <w:rPr>
          <w:rFonts w:ascii="Arial" w:eastAsia="Calibri" w:hAnsi="Arial" w:cs="Arial"/>
          <w:sz w:val="24"/>
          <w:szCs w:val="24"/>
        </w:rPr>
      </w:pPr>
      <w:r w:rsidRPr="00FF5C35">
        <w:rPr>
          <w:rFonts w:ascii="Arial" w:eastAsia="Calibri" w:hAnsi="Arial" w:cs="Arial"/>
          <w:b/>
          <w:sz w:val="24"/>
          <w:szCs w:val="24"/>
        </w:rPr>
        <w:t>g)</w:t>
      </w:r>
      <w:r w:rsidRPr="00FF5C35">
        <w:rPr>
          <w:rFonts w:ascii="Arial" w:eastAsia="Calibri" w:hAnsi="Arial" w:cs="Arial"/>
          <w:sz w:val="24"/>
          <w:szCs w:val="24"/>
        </w:rPr>
        <w:t xml:space="preserve"> Desmantelamiento de activos, procedimientos, implicaciones, efectos contables: No aplica.</w:t>
      </w:r>
    </w:p>
    <w:p w14:paraId="19AD793C" w14:textId="77777777" w:rsidR="00B5173F" w:rsidRPr="00FF5C35" w:rsidRDefault="00B5173F" w:rsidP="00484865">
      <w:pPr>
        <w:spacing w:after="0" w:line="360" w:lineRule="auto"/>
        <w:ind w:left="-397"/>
        <w:jc w:val="both"/>
        <w:rPr>
          <w:rFonts w:ascii="Arial" w:eastAsia="Calibri" w:hAnsi="Arial" w:cs="Arial"/>
          <w:sz w:val="24"/>
          <w:szCs w:val="24"/>
        </w:rPr>
      </w:pPr>
      <w:r w:rsidRPr="00FF5C35">
        <w:rPr>
          <w:rFonts w:ascii="Arial" w:eastAsia="Calibri" w:hAnsi="Arial" w:cs="Arial"/>
          <w:b/>
          <w:sz w:val="24"/>
          <w:szCs w:val="24"/>
        </w:rPr>
        <w:t>h)</w:t>
      </w:r>
      <w:r w:rsidRPr="00FF5C35">
        <w:rPr>
          <w:rFonts w:ascii="Arial" w:eastAsia="Calibri" w:hAnsi="Arial" w:cs="Arial"/>
          <w:sz w:val="24"/>
          <w:szCs w:val="24"/>
        </w:rPr>
        <w:t xml:space="preserve"> Administración de activos; planeación con el objetivo de que el ente los utilice de manera más efectiva: No aplica.</w:t>
      </w:r>
    </w:p>
    <w:p w14:paraId="7BD11291" w14:textId="77777777" w:rsidR="00D3528F" w:rsidRPr="00FF5C35" w:rsidRDefault="00D3528F" w:rsidP="00484865">
      <w:pPr>
        <w:spacing w:after="0" w:line="360" w:lineRule="auto"/>
        <w:ind w:left="-397"/>
        <w:jc w:val="both"/>
        <w:rPr>
          <w:rFonts w:ascii="Arial" w:eastAsia="Calibri" w:hAnsi="Arial" w:cs="Arial"/>
          <w:sz w:val="24"/>
          <w:szCs w:val="24"/>
        </w:rPr>
      </w:pPr>
    </w:p>
    <w:p w14:paraId="2F17C276" w14:textId="77777777" w:rsidR="00B5173F" w:rsidRPr="00FF5C35" w:rsidRDefault="00B5173F" w:rsidP="00484865">
      <w:pPr>
        <w:spacing w:after="0" w:line="360" w:lineRule="auto"/>
        <w:ind w:left="-397"/>
        <w:jc w:val="both"/>
        <w:rPr>
          <w:rFonts w:ascii="Arial" w:eastAsia="Calibri" w:hAnsi="Arial" w:cs="Arial"/>
          <w:b/>
          <w:sz w:val="24"/>
          <w:szCs w:val="24"/>
        </w:rPr>
      </w:pPr>
      <w:r w:rsidRPr="00FF5C35">
        <w:rPr>
          <w:rFonts w:ascii="Arial" w:eastAsia="Calibri" w:hAnsi="Arial" w:cs="Arial"/>
          <w:b/>
          <w:sz w:val="24"/>
          <w:szCs w:val="24"/>
        </w:rPr>
        <w:t>9. Fideicomisos, Mandatos y Análogos:</w:t>
      </w:r>
    </w:p>
    <w:p w14:paraId="3D8BFD50" w14:textId="77777777" w:rsidR="00B5173F" w:rsidRPr="00FF5C35" w:rsidRDefault="00B5173F" w:rsidP="00484865">
      <w:pPr>
        <w:spacing w:after="0" w:line="360" w:lineRule="auto"/>
        <w:ind w:left="-397"/>
        <w:jc w:val="both"/>
        <w:rPr>
          <w:rFonts w:ascii="Arial" w:eastAsia="Calibri" w:hAnsi="Arial" w:cs="Arial"/>
          <w:sz w:val="24"/>
          <w:szCs w:val="24"/>
        </w:rPr>
      </w:pPr>
      <w:r w:rsidRPr="00FF5C35">
        <w:rPr>
          <w:rFonts w:ascii="Arial" w:eastAsia="Calibri" w:hAnsi="Arial" w:cs="Arial"/>
          <w:sz w:val="24"/>
          <w:szCs w:val="24"/>
        </w:rPr>
        <w:t>Se deberá informar:</w:t>
      </w:r>
    </w:p>
    <w:p w14:paraId="10FF85DD" w14:textId="2E3BD4E5" w:rsidR="00B5173F" w:rsidRPr="00FF5C35" w:rsidRDefault="00B5173F" w:rsidP="00484865">
      <w:pPr>
        <w:spacing w:after="0" w:line="360" w:lineRule="auto"/>
        <w:ind w:left="-397"/>
        <w:jc w:val="both"/>
        <w:rPr>
          <w:rFonts w:ascii="Arial" w:eastAsia="Calibri" w:hAnsi="Arial" w:cs="Arial"/>
          <w:sz w:val="24"/>
          <w:szCs w:val="24"/>
        </w:rPr>
      </w:pPr>
      <w:r w:rsidRPr="00FF5C35">
        <w:rPr>
          <w:rFonts w:ascii="Arial" w:eastAsia="Calibri" w:hAnsi="Arial" w:cs="Arial"/>
          <w:b/>
          <w:sz w:val="24"/>
          <w:szCs w:val="24"/>
        </w:rPr>
        <w:t>a)</w:t>
      </w:r>
      <w:r w:rsidRPr="00FF5C35">
        <w:rPr>
          <w:rFonts w:ascii="Arial" w:eastAsia="Calibri" w:hAnsi="Arial" w:cs="Arial"/>
          <w:sz w:val="24"/>
          <w:szCs w:val="24"/>
        </w:rPr>
        <w:t xml:space="preserve"> Por ramo administrativo que los reporta: No aplica.</w:t>
      </w:r>
    </w:p>
    <w:p w14:paraId="35BF2289" w14:textId="0018D470" w:rsidR="00B5173F" w:rsidRDefault="00B5173F" w:rsidP="00484865">
      <w:pPr>
        <w:spacing w:line="360" w:lineRule="auto"/>
        <w:ind w:left="-397"/>
        <w:jc w:val="both"/>
        <w:rPr>
          <w:rFonts w:ascii="Arial" w:eastAsia="Calibri" w:hAnsi="Arial" w:cs="Arial"/>
          <w:sz w:val="24"/>
          <w:szCs w:val="24"/>
        </w:rPr>
      </w:pPr>
      <w:r w:rsidRPr="00FF5C35">
        <w:rPr>
          <w:rFonts w:ascii="Arial" w:eastAsia="Calibri" w:hAnsi="Arial" w:cs="Arial"/>
          <w:b/>
          <w:sz w:val="24"/>
          <w:szCs w:val="24"/>
        </w:rPr>
        <w:t>b)</w:t>
      </w:r>
      <w:r w:rsidRPr="00FF5C35">
        <w:rPr>
          <w:rFonts w:ascii="Arial" w:eastAsia="Calibri" w:hAnsi="Arial" w:cs="Arial"/>
          <w:sz w:val="24"/>
          <w:szCs w:val="24"/>
        </w:rPr>
        <w:t xml:space="preserve"> Enlistar los de mayor monto de disponibilidad, relacionando aquéllos que conforman el 80% de las disponibilidades: No aplica</w:t>
      </w:r>
    </w:p>
    <w:p w14:paraId="65508BD4" w14:textId="401CC054" w:rsidR="0082599A" w:rsidRDefault="0082599A" w:rsidP="00484865">
      <w:pPr>
        <w:spacing w:line="360" w:lineRule="auto"/>
        <w:ind w:left="-397"/>
        <w:jc w:val="both"/>
        <w:rPr>
          <w:rFonts w:ascii="Arial" w:eastAsia="Calibri" w:hAnsi="Arial" w:cs="Arial"/>
          <w:sz w:val="24"/>
          <w:szCs w:val="24"/>
        </w:rPr>
      </w:pPr>
    </w:p>
    <w:p w14:paraId="2A0B269E" w14:textId="08D5358C" w:rsidR="005F5553" w:rsidRDefault="005F5553" w:rsidP="00484865">
      <w:pPr>
        <w:spacing w:line="360" w:lineRule="auto"/>
        <w:ind w:left="-397"/>
        <w:jc w:val="both"/>
        <w:rPr>
          <w:rFonts w:ascii="Arial" w:eastAsia="Calibri" w:hAnsi="Arial" w:cs="Arial"/>
          <w:sz w:val="24"/>
          <w:szCs w:val="24"/>
        </w:rPr>
      </w:pPr>
    </w:p>
    <w:p w14:paraId="7673ED89" w14:textId="586C8B04" w:rsidR="005F5553" w:rsidRDefault="005F5553" w:rsidP="00484865">
      <w:pPr>
        <w:spacing w:line="360" w:lineRule="auto"/>
        <w:ind w:left="-397"/>
        <w:jc w:val="both"/>
        <w:rPr>
          <w:rFonts w:ascii="Arial" w:eastAsia="Calibri" w:hAnsi="Arial" w:cs="Arial"/>
          <w:sz w:val="24"/>
          <w:szCs w:val="24"/>
        </w:rPr>
      </w:pPr>
    </w:p>
    <w:p w14:paraId="571E082C" w14:textId="362C5328" w:rsidR="005F5553" w:rsidRDefault="005F5553" w:rsidP="00484865">
      <w:pPr>
        <w:spacing w:line="360" w:lineRule="auto"/>
        <w:ind w:left="-397"/>
        <w:jc w:val="both"/>
        <w:rPr>
          <w:rFonts w:ascii="Arial" w:eastAsia="Calibri" w:hAnsi="Arial" w:cs="Arial"/>
          <w:sz w:val="24"/>
          <w:szCs w:val="24"/>
        </w:rPr>
      </w:pPr>
    </w:p>
    <w:p w14:paraId="5D7EF0D5" w14:textId="69EA0A45" w:rsidR="005F5553" w:rsidRDefault="005F5553" w:rsidP="00484865">
      <w:pPr>
        <w:spacing w:line="360" w:lineRule="auto"/>
        <w:ind w:left="-397"/>
        <w:jc w:val="both"/>
        <w:rPr>
          <w:rFonts w:ascii="Arial" w:eastAsia="Calibri" w:hAnsi="Arial" w:cs="Arial"/>
          <w:sz w:val="24"/>
          <w:szCs w:val="24"/>
        </w:rPr>
      </w:pPr>
    </w:p>
    <w:p w14:paraId="5298F2AD" w14:textId="50A2A91E" w:rsidR="005F5553" w:rsidRDefault="005F5553" w:rsidP="00484865">
      <w:pPr>
        <w:spacing w:line="360" w:lineRule="auto"/>
        <w:ind w:left="-397"/>
        <w:jc w:val="both"/>
        <w:rPr>
          <w:rFonts w:ascii="Arial" w:eastAsia="Calibri" w:hAnsi="Arial" w:cs="Arial"/>
          <w:sz w:val="24"/>
          <w:szCs w:val="24"/>
        </w:rPr>
      </w:pPr>
    </w:p>
    <w:p w14:paraId="0B3ECEAD" w14:textId="038B701C" w:rsidR="005F5553" w:rsidRDefault="005F5553" w:rsidP="00484865">
      <w:pPr>
        <w:spacing w:line="360" w:lineRule="auto"/>
        <w:ind w:left="-397"/>
        <w:jc w:val="both"/>
        <w:rPr>
          <w:rFonts w:ascii="Arial" w:eastAsia="Calibri" w:hAnsi="Arial" w:cs="Arial"/>
          <w:sz w:val="24"/>
          <w:szCs w:val="24"/>
        </w:rPr>
      </w:pPr>
    </w:p>
    <w:p w14:paraId="17588A90" w14:textId="3AC8661E" w:rsidR="005F5553" w:rsidRDefault="005F5553" w:rsidP="00484865">
      <w:pPr>
        <w:spacing w:line="360" w:lineRule="auto"/>
        <w:ind w:left="-397"/>
        <w:jc w:val="both"/>
        <w:rPr>
          <w:rFonts w:ascii="Arial" w:eastAsia="Calibri" w:hAnsi="Arial" w:cs="Arial"/>
          <w:sz w:val="24"/>
          <w:szCs w:val="24"/>
        </w:rPr>
      </w:pPr>
    </w:p>
    <w:p w14:paraId="35026265" w14:textId="378579D5" w:rsidR="005F5553" w:rsidRDefault="005F5553" w:rsidP="00484865">
      <w:pPr>
        <w:spacing w:line="360" w:lineRule="auto"/>
        <w:ind w:left="-397"/>
        <w:jc w:val="both"/>
        <w:rPr>
          <w:rFonts w:ascii="Arial" w:eastAsia="Calibri" w:hAnsi="Arial" w:cs="Arial"/>
          <w:sz w:val="24"/>
          <w:szCs w:val="24"/>
        </w:rPr>
      </w:pPr>
    </w:p>
    <w:p w14:paraId="169FC29D" w14:textId="77777777" w:rsidR="005F5553" w:rsidRDefault="005F5553" w:rsidP="00484865">
      <w:pPr>
        <w:spacing w:line="360" w:lineRule="auto"/>
        <w:ind w:left="-397"/>
        <w:jc w:val="both"/>
        <w:rPr>
          <w:rFonts w:ascii="Arial" w:eastAsia="Calibri" w:hAnsi="Arial" w:cs="Arial"/>
          <w:sz w:val="24"/>
          <w:szCs w:val="24"/>
        </w:rPr>
      </w:pPr>
    </w:p>
    <w:p w14:paraId="41EB42E2" w14:textId="4F52DE48" w:rsidR="00B5173F" w:rsidRDefault="00B5173F" w:rsidP="00484865">
      <w:pPr>
        <w:spacing w:after="0" w:line="360" w:lineRule="auto"/>
        <w:ind w:left="-397"/>
        <w:jc w:val="both"/>
        <w:rPr>
          <w:rFonts w:ascii="Arial" w:eastAsia="Calibri" w:hAnsi="Arial" w:cs="Arial"/>
          <w:b/>
          <w:sz w:val="24"/>
          <w:szCs w:val="24"/>
        </w:rPr>
      </w:pPr>
      <w:r w:rsidRPr="00652D7E">
        <w:rPr>
          <w:rFonts w:ascii="Arial" w:eastAsia="Calibri" w:hAnsi="Arial" w:cs="Arial"/>
          <w:b/>
          <w:sz w:val="24"/>
          <w:szCs w:val="24"/>
        </w:rPr>
        <w:lastRenderedPageBreak/>
        <w:t>10. Reporte de la Recaudación:</w:t>
      </w:r>
    </w:p>
    <w:p w14:paraId="39264533" w14:textId="77777777" w:rsidR="0082599A" w:rsidRPr="004A4A1C" w:rsidRDefault="0082599A" w:rsidP="00484865">
      <w:pPr>
        <w:spacing w:after="0" w:line="360" w:lineRule="auto"/>
        <w:ind w:left="-397"/>
        <w:jc w:val="both"/>
        <w:rPr>
          <w:rFonts w:ascii="Arial" w:eastAsia="Calibri" w:hAnsi="Arial" w:cs="Arial"/>
          <w:b/>
          <w:sz w:val="24"/>
          <w:szCs w:val="24"/>
        </w:rPr>
      </w:pPr>
    </w:p>
    <w:p w14:paraId="00AF8812" w14:textId="1A52E6B5" w:rsidR="00FF73A2" w:rsidRDefault="00FF73A2" w:rsidP="00484865">
      <w:pPr>
        <w:ind w:left="-397"/>
        <w:rPr>
          <w:rFonts w:ascii="Arial" w:hAnsi="Arial" w:cs="Arial"/>
          <w:b/>
          <w:bCs/>
          <w:sz w:val="24"/>
          <w:szCs w:val="24"/>
        </w:rPr>
      </w:pPr>
      <w:bookmarkStart w:id="1" w:name="_Toc70596612"/>
      <w:bookmarkStart w:id="2" w:name="_Toc70596648"/>
      <w:bookmarkStart w:id="3" w:name="_Toc70596861"/>
      <w:r w:rsidRPr="00046863">
        <w:rPr>
          <w:rFonts w:ascii="Arial" w:hAnsi="Arial" w:cs="Arial"/>
          <w:b/>
          <w:bCs/>
          <w:sz w:val="24"/>
          <w:szCs w:val="24"/>
        </w:rPr>
        <w:t xml:space="preserve">INFORME SOBRE LAS FINANZAS PÚBLICAS </w:t>
      </w:r>
      <w:r w:rsidR="0042113A" w:rsidRPr="00046863">
        <w:rPr>
          <w:rFonts w:ascii="Arial" w:hAnsi="Arial" w:cs="Arial"/>
          <w:b/>
          <w:bCs/>
          <w:sz w:val="24"/>
          <w:szCs w:val="24"/>
        </w:rPr>
        <w:t>DEL ESTADO DE GUERRERO</w:t>
      </w:r>
      <w:bookmarkEnd w:id="1"/>
      <w:bookmarkEnd w:id="2"/>
      <w:bookmarkEnd w:id="3"/>
    </w:p>
    <w:p w14:paraId="79696725" w14:textId="15EE2D5C" w:rsidR="0082599A" w:rsidRDefault="0082599A" w:rsidP="00484865">
      <w:pPr>
        <w:ind w:left="-397"/>
        <w:rPr>
          <w:rFonts w:ascii="Arial" w:hAnsi="Arial" w:cs="Arial"/>
          <w:b/>
          <w:bCs/>
          <w:sz w:val="24"/>
          <w:szCs w:val="24"/>
        </w:rPr>
      </w:pPr>
    </w:p>
    <w:p w14:paraId="023D4643" w14:textId="179288CE" w:rsidR="0042113A" w:rsidRDefault="00FF73A2" w:rsidP="00484865">
      <w:pPr>
        <w:ind w:left="-397"/>
        <w:rPr>
          <w:rFonts w:ascii="Arial" w:hAnsi="Arial" w:cs="Arial"/>
          <w:b/>
          <w:bCs/>
          <w:sz w:val="24"/>
          <w:szCs w:val="24"/>
        </w:rPr>
      </w:pPr>
      <w:bookmarkStart w:id="4" w:name="_Toc70596613"/>
      <w:bookmarkStart w:id="5" w:name="_Toc70596649"/>
      <w:bookmarkStart w:id="6" w:name="_Toc70596862"/>
      <w:r w:rsidRPr="00046863">
        <w:rPr>
          <w:rFonts w:ascii="Arial" w:hAnsi="Arial" w:cs="Arial"/>
          <w:b/>
          <w:bCs/>
          <w:sz w:val="24"/>
          <w:szCs w:val="24"/>
        </w:rPr>
        <w:t>INGRESOS PRESUPUESTARIOS</w:t>
      </w:r>
      <w:bookmarkEnd w:id="4"/>
      <w:bookmarkEnd w:id="5"/>
      <w:bookmarkEnd w:id="6"/>
    </w:p>
    <w:p w14:paraId="316D5B8A" w14:textId="77777777" w:rsidR="002E5290" w:rsidRPr="002E5290" w:rsidRDefault="002E5290" w:rsidP="005F5553">
      <w:pPr>
        <w:spacing w:after="240" w:line="360" w:lineRule="auto"/>
        <w:ind w:left="-397"/>
        <w:jc w:val="both"/>
        <w:rPr>
          <w:rFonts w:ascii="Arial" w:eastAsia="Calibri" w:hAnsi="Arial" w:cs="Arial"/>
          <w:kern w:val="0"/>
          <w:sz w:val="24"/>
          <w14:ligatures w14:val="none"/>
        </w:rPr>
      </w:pPr>
      <w:r w:rsidRPr="002E5290">
        <w:rPr>
          <w:rFonts w:ascii="Arial" w:eastAsia="Calibri" w:hAnsi="Arial" w:cs="Arial"/>
          <w:kern w:val="0"/>
          <w:sz w:val="24"/>
          <w14:ligatures w14:val="none"/>
        </w:rPr>
        <w:t xml:space="preserve">La Ley número 468 de Ingresos del Estado de Guerrero para el Ejercicio Fiscal 2026, se integró de la siguiente manera: por ingresos de Gestión se estimaron $ 2,960,441,165.75 (Dos mil novecientos sesenta millones cuatrocientos cuarenta y un mil ciento sesenta y cinco pesos 75/100 M.N.) </w:t>
      </w:r>
    </w:p>
    <w:tbl>
      <w:tblPr>
        <w:tblpPr w:leftFromText="141" w:rightFromText="141" w:vertAnchor="text" w:horzAnchor="margin" w:tblpXSpec="center" w:tblpY="323"/>
        <w:tblW w:w="9185" w:type="dxa"/>
        <w:tblCellMar>
          <w:left w:w="70" w:type="dxa"/>
          <w:right w:w="70" w:type="dxa"/>
        </w:tblCellMar>
        <w:tblLook w:val="04A0" w:firstRow="1" w:lastRow="0" w:firstColumn="1" w:lastColumn="0" w:noHBand="0" w:noVBand="1"/>
      </w:tblPr>
      <w:tblGrid>
        <w:gridCol w:w="3027"/>
        <w:gridCol w:w="4286"/>
        <w:gridCol w:w="1872"/>
      </w:tblGrid>
      <w:tr w:rsidR="005F5553" w:rsidRPr="002E5290" w14:paraId="340C1F96" w14:textId="77777777" w:rsidTr="005F5553">
        <w:trPr>
          <w:trHeight w:val="444"/>
        </w:trPr>
        <w:tc>
          <w:tcPr>
            <w:tcW w:w="3027" w:type="dxa"/>
            <w:tcBorders>
              <w:top w:val="single" w:sz="4" w:space="0" w:color="auto"/>
              <w:left w:val="single" w:sz="4" w:space="0" w:color="auto"/>
              <w:bottom w:val="single" w:sz="4" w:space="0" w:color="auto"/>
              <w:right w:val="single" w:sz="4" w:space="0" w:color="auto"/>
            </w:tcBorders>
            <w:shd w:val="clear" w:color="000000" w:fill="DDC9A3"/>
            <w:noWrap/>
            <w:vAlign w:val="bottom"/>
            <w:hideMark/>
          </w:tcPr>
          <w:p w14:paraId="046DCAF1" w14:textId="77777777" w:rsidR="005F5553" w:rsidRPr="002E5290" w:rsidRDefault="005F5553" w:rsidP="005F5553">
            <w:pPr>
              <w:spacing w:after="0" w:line="240" w:lineRule="auto"/>
              <w:jc w:val="center"/>
              <w:rPr>
                <w:rFonts w:ascii="Arial" w:eastAsia="Times New Roman" w:hAnsi="Arial" w:cs="Arial"/>
                <w:color w:val="000000"/>
                <w:kern w:val="0"/>
                <w:sz w:val="32"/>
                <w:szCs w:val="32"/>
                <w:lang w:eastAsia="es-MX"/>
                <w14:ligatures w14:val="none"/>
              </w:rPr>
            </w:pPr>
            <w:bookmarkStart w:id="7" w:name="_Ref39234675"/>
            <w:r w:rsidRPr="002E5290">
              <w:rPr>
                <w:rFonts w:ascii="Arial" w:eastAsia="Times New Roman" w:hAnsi="Arial" w:cs="Arial"/>
                <w:color w:val="000000"/>
                <w:kern w:val="0"/>
                <w:sz w:val="32"/>
                <w:szCs w:val="32"/>
                <w:lang w:eastAsia="es-MX"/>
                <w14:ligatures w14:val="none"/>
              </w:rPr>
              <w:t>Rubro</w:t>
            </w:r>
          </w:p>
        </w:tc>
        <w:tc>
          <w:tcPr>
            <w:tcW w:w="4286" w:type="dxa"/>
            <w:tcBorders>
              <w:top w:val="single" w:sz="4" w:space="0" w:color="auto"/>
              <w:left w:val="nil"/>
              <w:bottom w:val="single" w:sz="4" w:space="0" w:color="auto"/>
              <w:right w:val="single" w:sz="4" w:space="0" w:color="auto"/>
            </w:tcBorders>
            <w:shd w:val="clear" w:color="000000" w:fill="DDC9A3"/>
            <w:noWrap/>
            <w:vAlign w:val="bottom"/>
            <w:hideMark/>
          </w:tcPr>
          <w:p w14:paraId="030F4563" w14:textId="77777777" w:rsidR="005F5553" w:rsidRPr="002E5290" w:rsidRDefault="005F5553" w:rsidP="005F5553">
            <w:pPr>
              <w:spacing w:after="0" w:line="240" w:lineRule="auto"/>
              <w:jc w:val="center"/>
              <w:rPr>
                <w:rFonts w:ascii="Arial" w:eastAsia="Times New Roman" w:hAnsi="Arial" w:cs="Arial"/>
                <w:color w:val="000000"/>
                <w:kern w:val="0"/>
                <w:sz w:val="32"/>
                <w:szCs w:val="32"/>
                <w:lang w:eastAsia="es-MX"/>
                <w14:ligatures w14:val="none"/>
              </w:rPr>
            </w:pPr>
            <w:r w:rsidRPr="002E5290">
              <w:rPr>
                <w:rFonts w:ascii="Arial" w:eastAsia="Times New Roman" w:hAnsi="Arial" w:cs="Arial"/>
                <w:color w:val="000000"/>
                <w:kern w:val="0"/>
                <w:sz w:val="32"/>
                <w:szCs w:val="32"/>
                <w:lang w:eastAsia="es-MX"/>
                <w14:ligatures w14:val="none"/>
              </w:rPr>
              <w:t>Ingresos 2026</w:t>
            </w:r>
          </w:p>
        </w:tc>
        <w:tc>
          <w:tcPr>
            <w:tcW w:w="1872" w:type="dxa"/>
            <w:tcBorders>
              <w:top w:val="single" w:sz="4" w:space="0" w:color="auto"/>
              <w:left w:val="nil"/>
              <w:bottom w:val="single" w:sz="4" w:space="0" w:color="auto"/>
              <w:right w:val="single" w:sz="4" w:space="0" w:color="auto"/>
            </w:tcBorders>
            <w:shd w:val="clear" w:color="000000" w:fill="DDC9A3"/>
            <w:noWrap/>
            <w:vAlign w:val="bottom"/>
            <w:hideMark/>
          </w:tcPr>
          <w:p w14:paraId="7BE5A587" w14:textId="77777777" w:rsidR="005F5553" w:rsidRPr="002E5290" w:rsidRDefault="005F5553" w:rsidP="005F5553">
            <w:pPr>
              <w:spacing w:after="0" w:line="240" w:lineRule="auto"/>
              <w:jc w:val="center"/>
              <w:rPr>
                <w:rFonts w:ascii="Arial" w:eastAsia="Times New Roman" w:hAnsi="Arial" w:cs="Arial"/>
                <w:color w:val="000000"/>
                <w:kern w:val="0"/>
                <w:sz w:val="32"/>
                <w:szCs w:val="32"/>
                <w:lang w:eastAsia="es-MX"/>
                <w14:ligatures w14:val="none"/>
              </w:rPr>
            </w:pPr>
            <w:r w:rsidRPr="002E5290">
              <w:rPr>
                <w:rFonts w:ascii="Arial" w:eastAsia="Times New Roman" w:hAnsi="Arial" w:cs="Arial"/>
                <w:color w:val="000000"/>
                <w:kern w:val="0"/>
                <w:sz w:val="32"/>
                <w:szCs w:val="32"/>
                <w:lang w:eastAsia="es-MX"/>
                <w14:ligatures w14:val="none"/>
              </w:rPr>
              <w:t>Porcentaje</w:t>
            </w:r>
          </w:p>
        </w:tc>
      </w:tr>
      <w:tr w:rsidR="005F5553" w:rsidRPr="002E5290" w14:paraId="2B14183A" w14:textId="77777777" w:rsidTr="005F5553">
        <w:trPr>
          <w:trHeight w:val="394"/>
        </w:trPr>
        <w:tc>
          <w:tcPr>
            <w:tcW w:w="3027" w:type="dxa"/>
            <w:tcBorders>
              <w:top w:val="nil"/>
              <w:left w:val="single" w:sz="4" w:space="0" w:color="auto"/>
              <w:bottom w:val="single" w:sz="4" w:space="0" w:color="auto"/>
              <w:right w:val="single" w:sz="4" w:space="0" w:color="auto"/>
            </w:tcBorders>
            <w:noWrap/>
            <w:vAlign w:val="bottom"/>
            <w:hideMark/>
          </w:tcPr>
          <w:p w14:paraId="50248B7E" w14:textId="77777777" w:rsidR="005F5553" w:rsidRPr="002E5290" w:rsidRDefault="005F5553" w:rsidP="005F5553">
            <w:pPr>
              <w:spacing w:after="0" w:line="240" w:lineRule="auto"/>
              <w:rPr>
                <w:rFonts w:ascii="Arial" w:eastAsia="Times New Roman" w:hAnsi="Arial" w:cs="Arial"/>
                <w:color w:val="000000"/>
                <w:kern w:val="0"/>
                <w:sz w:val="28"/>
                <w:szCs w:val="28"/>
                <w:lang w:eastAsia="es-MX"/>
                <w14:ligatures w14:val="none"/>
              </w:rPr>
            </w:pPr>
            <w:r w:rsidRPr="002E5290">
              <w:rPr>
                <w:rFonts w:ascii="Arial" w:eastAsia="Times New Roman" w:hAnsi="Arial" w:cs="Arial"/>
                <w:color w:val="000000"/>
                <w:kern w:val="0"/>
                <w:sz w:val="28"/>
                <w:szCs w:val="28"/>
                <w:lang w:eastAsia="es-MX"/>
                <w14:ligatures w14:val="none"/>
              </w:rPr>
              <w:t>Ingresos de Gestión</w:t>
            </w:r>
          </w:p>
        </w:tc>
        <w:tc>
          <w:tcPr>
            <w:tcW w:w="4286" w:type="dxa"/>
            <w:tcBorders>
              <w:top w:val="nil"/>
              <w:left w:val="nil"/>
              <w:bottom w:val="single" w:sz="4" w:space="0" w:color="auto"/>
              <w:right w:val="single" w:sz="4" w:space="0" w:color="auto"/>
            </w:tcBorders>
            <w:noWrap/>
            <w:vAlign w:val="bottom"/>
            <w:hideMark/>
          </w:tcPr>
          <w:p w14:paraId="25083DFC" w14:textId="77777777" w:rsidR="005F5553" w:rsidRPr="002E5290" w:rsidRDefault="005F5553" w:rsidP="005F5553">
            <w:pPr>
              <w:spacing w:after="0" w:line="240" w:lineRule="auto"/>
              <w:rPr>
                <w:rFonts w:ascii="Arial" w:eastAsia="Times New Roman" w:hAnsi="Arial" w:cs="Arial"/>
                <w:color w:val="000000"/>
                <w:kern w:val="0"/>
                <w:sz w:val="28"/>
                <w:szCs w:val="28"/>
                <w:lang w:eastAsia="es-MX"/>
                <w14:ligatures w14:val="none"/>
              </w:rPr>
            </w:pPr>
            <w:r w:rsidRPr="002E5290">
              <w:rPr>
                <w:rFonts w:ascii="Arial" w:eastAsia="Times New Roman" w:hAnsi="Arial" w:cs="Arial"/>
                <w:color w:val="000000"/>
                <w:kern w:val="0"/>
                <w:sz w:val="28"/>
                <w:szCs w:val="28"/>
                <w:lang w:eastAsia="es-MX"/>
                <w14:ligatures w14:val="none"/>
              </w:rPr>
              <w:t xml:space="preserve"> $   2,960,441,165.75 </w:t>
            </w:r>
          </w:p>
        </w:tc>
        <w:tc>
          <w:tcPr>
            <w:tcW w:w="1872" w:type="dxa"/>
            <w:tcBorders>
              <w:top w:val="nil"/>
              <w:left w:val="nil"/>
              <w:bottom w:val="single" w:sz="4" w:space="0" w:color="auto"/>
              <w:right w:val="single" w:sz="4" w:space="0" w:color="auto"/>
            </w:tcBorders>
            <w:noWrap/>
            <w:vAlign w:val="bottom"/>
            <w:hideMark/>
          </w:tcPr>
          <w:p w14:paraId="483EC4E3" w14:textId="77777777" w:rsidR="005F5553" w:rsidRPr="002E5290" w:rsidRDefault="005F5553" w:rsidP="005F5553">
            <w:pPr>
              <w:spacing w:after="0" w:line="240" w:lineRule="auto"/>
              <w:jc w:val="right"/>
              <w:rPr>
                <w:rFonts w:ascii="Arial" w:eastAsia="Times New Roman" w:hAnsi="Arial" w:cs="Arial"/>
                <w:color w:val="000000"/>
                <w:kern w:val="0"/>
                <w:sz w:val="28"/>
                <w:szCs w:val="28"/>
                <w:lang w:eastAsia="es-MX"/>
                <w14:ligatures w14:val="none"/>
              </w:rPr>
            </w:pPr>
            <w:r w:rsidRPr="002E5290">
              <w:rPr>
                <w:rFonts w:ascii="Arial" w:eastAsia="Times New Roman" w:hAnsi="Arial" w:cs="Arial"/>
                <w:color w:val="000000"/>
                <w:kern w:val="0"/>
                <w:sz w:val="28"/>
                <w:szCs w:val="28"/>
                <w:lang w:eastAsia="es-MX"/>
                <w14:ligatures w14:val="none"/>
              </w:rPr>
              <w:t>3.39%</w:t>
            </w:r>
          </w:p>
        </w:tc>
      </w:tr>
      <w:tr w:rsidR="005F5553" w:rsidRPr="002E5290" w14:paraId="2B771888" w14:textId="77777777" w:rsidTr="005F5553">
        <w:trPr>
          <w:trHeight w:val="394"/>
        </w:trPr>
        <w:tc>
          <w:tcPr>
            <w:tcW w:w="3027" w:type="dxa"/>
            <w:tcBorders>
              <w:top w:val="nil"/>
              <w:left w:val="single" w:sz="4" w:space="0" w:color="auto"/>
              <w:bottom w:val="single" w:sz="4" w:space="0" w:color="auto"/>
              <w:right w:val="single" w:sz="4" w:space="0" w:color="auto"/>
            </w:tcBorders>
            <w:noWrap/>
            <w:vAlign w:val="bottom"/>
            <w:hideMark/>
          </w:tcPr>
          <w:p w14:paraId="3CF221CB" w14:textId="77777777" w:rsidR="005F5553" w:rsidRPr="002E5290" w:rsidRDefault="005F5553" w:rsidP="005F5553">
            <w:pPr>
              <w:spacing w:after="0" w:line="240" w:lineRule="auto"/>
              <w:rPr>
                <w:rFonts w:ascii="Arial" w:eastAsia="Times New Roman" w:hAnsi="Arial" w:cs="Arial"/>
                <w:color w:val="000000"/>
                <w:kern w:val="0"/>
                <w:sz w:val="28"/>
                <w:szCs w:val="28"/>
                <w:lang w:eastAsia="es-MX"/>
                <w14:ligatures w14:val="none"/>
              </w:rPr>
            </w:pPr>
            <w:r w:rsidRPr="002E5290">
              <w:rPr>
                <w:rFonts w:ascii="Arial" w:eastAsia="Times New Roman" w:hAnsi="Arial" w:cs="Arial"/>
                <w:color w:val="000000"/>
                <w:kern w:val="0"/>
                <w:sz w:val="28"/>
                <w:szCs w:val="28"/>
                <w:lang w:eastAsia="es-MX"/>
                <w14:ligatures w14:val="none"/>
              </w:rPr>
              <w:t>Ingresos Federales</w:t>
            </w:r>
          </w:p>
        </w:tc>
        <w:tc>
          <w:tcPr>
            <w:tcW w:w="4286" w:type="dxa"/>
            <w:tcBorders>
              <w:top w:val="nil"/>
              <w:left w:val="nil"/>
              <w:bottom w:val="single" w:sz="4" w:space="0" w:color="auto"/>
              <w:right w:val="single" w:sz="4" w:space="0" w:color="auto"/>
            </w:tcBorders>
            <w:noWrap/>
            <w:vAlign w:val="bottom"/>
            <w:hideMark/>
          </w:tcPr>
          <w:p w14:paraId="30072F7B" w14:textId="77777777" w:rsidR="005F5553" w:rsidRPr="002E5290" w:rsidRDefault="005F5553" w:rsidP="005F5553">
            <w:pPr>
              <w:spacing w:after="0" w:line="240" w:lineRule="auto"/>
              <w:rPr>
                <w:rFonts w:ascii="Arial" w:eastAsia="Times New Roman" w:hAnsi="Arial" w:cs="Arial"/>
                <w:color w:val="000000"/>
                <w:kern w:val="0"/>
                <w:sz w:val="28"/>
                <w:szCs w:val="28"/>
                <w:lang w:eastAsia="es-MX"/>
                <w14:ligatures w14:val="none"/>
              </w:rPr>
            </w:pPr>
            <w:r w:rsidRPr="002E5290">
              <w:rPr>
                <w:rFonts w:ascii="Arial" w:eastAsia="Times New Roman" w:hAnsi="Arial" w:cs="Arial"/>
                <w:color w:val="000000"/>
                <w:kern w:val="0"/>
                <w:sz w:val="28"/>
                <w:szCs w:val="28"/>
                <w:lang w:eastAsia="es-MX"/>
                <w14:ligatures w14:val="none"/>
              </w:rPr>
              <w:t xml:space="preserve"> $ 84,434,535,672.13 </w:t>
            </w:r>
          </w:p>
        </w:tc>
        <w:tc>
          <w:tcPr>
            <w:tcW w:w="1872" w:type="dxa"/>
            <w:tcBorders>
              <w:top w:val="nil"/>
              <w:left w:val="nil"/>
              <w:bottom w:val="single" w:sz="4" w:space="0" w:color="auto"/>
              <w:right w:val="single" w:sz="4" w:space="0" w:color="auto"/>
            </w:tcBorders>
            <w:noWrap/>
            <w:vAlign w:val="bottom"/>
            <w:hideMark/>
          </w:tcPr>
          <w:p w14:paraId="1EB54725" w14:textId="77777777" w:rsidR="005F5553" w:rsidRPr="002E5290" w:rsidRDefault="005F5553" w:rsidP="005F5553">
            <w:pPr>
              <w:spacing w:after="0" w:line="240" w:lineRule="auto"/>
              <w:jc w:val="right"/>
              <w:rPr>
                <w:rFonts w:ascii="Arial" w:eastAsia="Times New Roman" w:hAnsi="Arial" w:cs="Arial"/>
                <w:color w:val="000000"/>
                <w:kern w:val="0"/>
                <w:sz w:val="28"/>
                <w:szCs w:val="28"/>
                <w:lang w:eastAsia="es-MX"/>
                <w14:ligatures w14:val="none"/>
              </w:rPr>
            </w:pPr>
            <w:r w:rsidRPr="002E5290">
              <w:rPr>
                <w:rFonts w:ascii="Arial" w:eastAsia="Times New Roman" w:hAnsi="Arial" w:cs="Arial"/>
                <w:color w:val="000000"/>
                <w:kern w:val="0"/>
                <w:sz w:val="28"/>
                <w:szCs w:val="28"/>
                <w:lang w:eastAsia="es-MX"/>
                <w14:ligatures w14:val="none"/>
              </w:rPr>
              <w:t>96.61%</w:t>
            </w:r>
          </w:p>
        </w:tc>
      </w:tr>
      <w:tr w:rsidR="005F5553" w:rsidRPr="002E5290" w14:paraId="48E50182" w14:textId="77777777" w:rsidTr="005F5553">
        <w:trPr>
          <w:trHeight w:val="394"/>
        </w:trPr>
        <w:tc>
          <w:tcPr>
            <w:tcW w:w="3027" w:type="dxa"/>
            <w:tcBorders>
              <w:top w:val="nil"/>
              <w:left w:val="single" w:sz="4" w:space="0" w:color="auto"/>
              <w:bottom w:val="single" w:sz="4" w:space="0" w:color="auto"/>
              <w:right w:val="single" w:sz="4" w:space="0" w:color="auto"/>
            </w:tcBorders>
            <w:noWrap/>
            <w:vAlign w:val="bottom"/>
            <w:hideMark/>
          </w:tcPr>
          <w:p w14:paraId="12F4D4D4" w14:textId="77777777" w:rsidR="005F5553" w:rsidRPr="002E5290" w:rsidRDefault="005F5553" w:rsidP="005F5553">
            <w:pPr>
              <w:spacing w:after="0" w:line="240" w:lineRule="auto"/>
              <w:rPr>
                <w:rFonts w:ascii="Arial" w:eastAsia="Times New Roman" w:hAnsi="Arial" w:cs="Arial"/>
                <w:b/>
                <w:bCs/>
                <w:color w:val="000000"/>
                <w:kern w:val="0"/>
                <w:sz w:val="28"/>
                <w:szCs w:val="28"/>
                <w:lang w:eastAsia="es-MX"/>
                <w14:ligatures w14:val="none"/>
              </w:rPr>
            </w:pPr>
            <w:r w:rsidRPr="002E5290">
              <w:rPr>
                <w:rFonts w:ascii="Arial" w:eastAsia="Times New Roman" w:hAnsi="Arial" w:cs="Arial"/>
                <w:b/>
                <w:bCs/>
                <w:color w:val="000000"/>
                <w:kern w:val="0"/>
                <w:sz w:val="28"/>
                <w:szCs w:val="28"/>
                <w:lang w:eastAsia="es-MX"/>
                <w14:ligatures w14:val="none"/>
              </w:rPr>
              <w:t>Total:</w:t>
            </w:r>
          </w:p>
        </w:tc>
        <w:tc>
          <w:tcPr>
            <w:tcW w:w="4286" w:type="dxa"/>
            <w:tcBorders>
              <w:top w:val="nil"/>
              <w:left w:val="nil"/>
              <w:bottom w:val="single" w:sz="4" w:space="0" w:color="auto"/>
              <w:right w:val="single" w:sz="4" w:space="0" w:color="auto"/>
            </w:tcBorders>
            <w:noWrap/>
            <w:vAlign w:val="bottom"/>
            <w:hideMark/>
          </w:tcPr>
          <w:p w14:paraId="55957E10" w14:textId="77777777" w:rsidR="005F5553" w:rsidRPr="002E5290" w:rsidRDefault="005F5553" w:rsidP="005F5553">
            <w:pPr>
              <w:spacing w:after="0" w:line="240" w:lineRule="auto"/>
              <w:rPr>
                <w:rFonts w:ascii="Arial" w:eastAsia="Times New Roman" w:hAnsi="Arial" w:cs="Arial"/>
                <w:b/>
                <w:bCs/>
                <w:color w:val="000000"/>
                <w:kern w:val="0"/>
                <w:sz w:val="28"/>
                <w:szCs w:val="28"/>
                <w:lang w:eastAsia="es-MX"/>
                <w14:ligatures w14:val="none"/>
              </w:rPr>
            </w:pPr>
            <w:r w:rsidRPr="002E5290">
              <w:rPr>
                <w:rFonts w:ascii="Arial" w:eastAsia="Times New Roman" w:hAnsi="Arial" w:cs="Arial"/>
                <w:b/>
                <w:bCs/>
                <w:color w:val="000000"/>
                <w:kern w:val="0"/>
                <w:sz w:val="28"/>
                <w:szCs w:val="28"/>
                <w:lang w:eastAsia="es-MX"/>
                <w14:ligatures w14:val="none"/>
              </w:rPr>
              <w:t xml:space="preserve"> $ 87,394,976,837.88 </w:t>
            </w:r>
          </w:p>
        </w:tc>
        <w:tc>
          <w:tcPr>
            <w:tcW w:w="1872" w:type="dxa"/>
            <w:tcBorders>
              <w:top w:val="nil"/>
              <w:left w:val="nil"/>
              <w:bottom w:val="single" w:sz="4" w:space="0" w:color="auto"/>
              <w:right w:val="single" w:sz="4" w:space="0" w:color="auto"/>
            </w:tcBorders>
            <w:noWrap/>
            <w:vAlign w:val="bottom"/>
            <w:hideMark/>
          </w:tcPr>
          <w:p w14:paraId="63121CBA" w14:textId="77777777" w:rsidR="005F5553" w:rsidRPr="002E5290" w:rsidRDefault="005F5553" w:rsidP="005F5553">
            <w:pPr>
              <w:spacing w:after="0" w:line="240" w:lineRule="auto"/>
              <w:jc w:val="right"/>
              <w:rPr>
                <w:rFonts w:ascii="Arial" w:eastAsia="Times New Roman" w:hAnsi="Arial" w:cs="Arial"/>
                <w:b/>
                <w:bCs/>
                <w:color w:val="000000"/>
                <w:kern w:val="0"/>
                <w:sz w:val="28"/>
                <w:szCs w:val="28"/>
                <w:lang w:eastAsia="es-MX"/>
                <w14:ligatures w14:val="none"/>
              </w:rPr>
            </w:pPr>
            <w:r w:rsidRPr="002E5290">
              <w:rPr>
                <w:rFonts w:ascii="Arial" w:eastAsia="Times New Roman" w:hAnsi="Arial" w:cs="Arial"/>
                <w:b/>
                <w:bCs/>
                <w:color w:val="000000"/>
                <w:kern w:val="0"/>
                <w:sz w:val="28"/>
                <w:szCs w:val="28"/>
                <w:lang w:eastAsia="es-MX"/>
                <w14:ligatures w14:val="none"/>
              </w:rPr>
              <w:t>100.00%</w:t>
            </w:r>
          </w:p>
        </w:tc>
      </w:tr>
    </w:tbl>
    <w:p w14:paraId="03BFFB98" w14:textId="77777777" w:rsidR="002E5290" w:rsidRPr="002E5290" w:rsidRDefault="002E5290" w:rsidP="002E5290">
      <w:pPr>
        <w:spacing w:after="200" w:line="240" w:lineRule="auto"/>
        <w:ind w:firstLine="284"/>
        <w:jc w:val="center"/>
        <w:rPr>
          <w:rFonts w:ascii="Arial" w:eastAsia="Calibri" w:hAnsi="Arial" w:cs="Arial"/>
          <w:i/>
          <w:iCs/>
          <w:color w:val="595959"/>
          <w:kern w:val="0"/>
          <w:sz w:val="18"/>
          <w:szCs w:val="18"/>
          <w14:ligatures w14:val="none"/>
        </w:rPr>
      </w:pPr>
      <w:r w:rsidRPr="002E5290">
        <w:rPr>
          <w:rFonts w:ascii="Arial" w:eastAsia="Calibri" w:hAnsi="Arial" w:cs="Arial"/>
          <w:i/>
          <w:iCs/>
          <w:color w:val="595959"/>
          <w:kern w:val="0"/>
          <w:sz w:val="18"/>
          <w:szCs w:val="18"/>
          <w14:ligatures w14:val="none"/>
        </w:rPr>
        <w:t>Tabla 2. Ingresos del Estado de Guerrero para el Ejercicio Fiscal 2026</w:t>
      </w:r>
    </w:p>
    <w:bookmarkEnd w:id="7"/>
    <w:p w14:paraId="18EF2D24" w14:textId="45A8CD91" w:rsidR="0099083F" w:rsidRDefault="00A10114" w:rsidP="00390849">
      <w:pPr>
        <w:spacing w:after="0" w:line="360" w:lineRule="auto"/>
        <w:jc w:val="both"/>
        <w:rPr>
          <w:rFonts w:ascii="Arial" w:eastAsiaTheme="majorEastAsia" w:hAnsi="Arial" w:cs="Arial"/>
          <w:b/>
          <w:color w:val="000000" w:themeColor="text1"/>
          <w:sz w:val="24"/>
          <w:szCs w:val="24"/>
        </w:rPr>
      </w:pPr>
      <w:r w:rsidRPr="00A10114">
        <w:rPr>
          <w:rFonts w:ascii="Arial" w:eastAsia="Calibri" w:hAnsi="Arial" w:cs="Arial"/>
          <w:color w:val="000000"/>
          <w:kern w:val="0"/>
          <w:sz w:val="16"/>
          <w:szCs w:val="14"/>
          <w14:ligatures w14:val="none"/>
        </w:rPr>
        <w:t>Fuente: Departamento de Atención al Sistema Nacional de Coordinación Fiscal</w:t>
      </w:r>
    </w:p>
    <w:p w14:paraId="440C275C" w14:textId="77777777" w:rsidR="00A10114" w:rsidRDefault="00A10114" w:rsidP="00390849">
      <w:pPr>
        <w:spacing w:after="0" w:line="360" w:lineRule="auto"/>
        <w:jc w:val="both"/>
        <w:rPr>
          <w:rFonts w:ascii="Arial" w:eastAsiaTheme="majorEastAsia" w:hAnsi="Arial" w:cs="Arial"/>
          <w:b/>
          <w:color w:val="000000" w:themeColor="text1"/>
          <w:sz w:val="24"/>
          <w:szCs w:val="24"/>
        </w:rPr>
      </w:pPr>
    </w:p>
    <w:p w14:paraId="1F698326" w14:textId="498F3EB9" w:rsidR="000E4F9E" w:rsidRDefault="00FF73A2" w:rsidP="005F5553">
      <w:pPr>
        <w:spacing w:after="0" w:line="360" w:lineRule="auto"/>
        <w:ind w:left="-397"/>
        <w:jc w:val="both"/>
        <w:rPr>
          <w:rFonts w:ascii="Arial" w:eastAsiaTheme="majorEastAsia" w:hAnsi="Arial" w:cs="Arial"/>
          <w:b/>
          <w:color w:val="000000" w:themeColor="text1"/>
          <w:sz w:val="24"/>
          <w:szCs w:val="24"/>
        </w:rPr>
      </w:pPr>
      <w:r w:rsidRPr="00390849">
        <w:rPr>
          <w:rFonts w:ascii="Arial" w:eastAsiaTheme="majorEastAsia" w:hAnsi="Arial" w:cs="Arial"/>
          <w:b/>
          <w:color w:val="000000" w:themeColor="text1"/>
          <w:sz w:val="24"/>
          <w:szCs w:val="24"/>
        </w:rPr>
        <w:t>INGRESOS CONSOLIDADOS</w:t>
      </w:r>
    </w:p>
    <w:p w14:paraId="17662470" w14:textId="77777777" w:rsidR="005F5553" w:rsidRDefault="005F5553" w:rsidP="005F5553">
      <w:pPr>
        <w:spacing w:after="0" w:line="360" w:lineRule="auto"/>
        <w:ind w:left="-397"/>
        <w:jc w:val="both"/>
        <w:rPr>
          <w:rFonts w:ascii="Arial" w:eastAsiaTheme="majorEastAsia" w:hAnsi="Arial" w:cs="Arial"/>
          <w:b/>
          <w:color w:val="000000" w:themeColor="text1"/>
          <w:sz w:val="24"/>
          <w:szCs w:val="24"/>
        </w:rPr>
      </w:pPr>
    </w:p>
    <w:p w14:paraId="280016A7" w14:textId="77777777" w:rsidR="002E5290" w:rsidRPr="002E5290" w:rsidRDefault="002E5290" w:rsidP="005F5553">
      <w:pPr>
        <w:spacing w:after="240" w:line="360" w:lineRule="auto"/>
        <w:ind w:left="-397"/>
        <w:jc w:val="both"/>
        <w:rPr>
          <w:rFonts w:ascii="Arial" w:eastAsia="Calibri" w:hAnsi="Arial" w:cs="Arial"/>
          <w:kern w:val="0"/>
          <w:sz w:val="24"/>
          <w14:ligatures w14:val="none"/>
        </w:rPr>
      </w:pPr>
      <w:r w:rsidRPr="002E5290">
        <w:rPr>
          <w:rFonts w:ascii="Arial" w:eastAsia="Calibri" w:hAnsi="Arial" w:cs="Arial"/>
          <w:kern w:val="0"/>
          <w:sz w:val="24"/>
          <w14:ligatures w14:val="none"/>
        </w:rPr>
        <w:t xml:space="preserve">Al cierre del primer trimestre del ejercicio fiscal 2026, se informa que los ingresos recaudados ascienden a </w:t>
      </w:r>
      <w:r w:rsidRPr="002E5290">
        <w:rPr>
          <w:rFonts w:ascii="Arial" w:eastAsia="Calibri" w:hAnsi="Arial" w:cs="Arial"/>
          <w:b/>
          <w:bCs/>
          <w:kern w:val="0"/>
          <w:sz w:val="24"/>
          <w14:ligatures w14:val="none"/>
        </w:rPr>
        <w:t xml:space="preserve">$ 26,679,556,501.92 </w:t>
      </w:r>
      <w:r w:rsidRPr="002E5290">
        <w:rPr>
          <w:rFonts w:ascii="Arial" w:eastAsia="Calibri" w:hAnsi="Arial" w:cs="Arial"/>
          <w:kern w:val="0"/>
          <w:sz w:val="24"/>
          <w14:ligatures w14:val="none"/>
        </w:rPr>
        <w:t>(</w:t>
      </w:r>
      <w:r w:rsidRPr="002E5290">
        <w:rPr>
          <w:rFonts w:ascii="Arial" w:eastAsia="Calibri" w:hAnsi="Arial" w:cs="Arial"/>
          <w:b/>
          <w:bCs/>
          <w:kern w:val="0"/>
          <w:sz w:val="24"/>
          <w14:ligatures w14:val="none"/>
        </w:rPr>
        <w:t>Veintiséis mil seiscientos setenta y nueve millones quinientos cincuenta y seis mil quinientos pesos 92/100 M.N.</w:t>
      </w:r>
      <w:r w:rsidRPr="002E5290">
        <w:rPr>
          <w:rFonts w:ascii="Arial" w:eastAsia="Calibri" w:hAnsi="Arial" w:cs="Arial"/>
          <w:kern w:val="0"/>
          <w:sz w:val="24"/>
          <w14:ligatures w14:val="none"/>
        </w:rPr>
        <w:t xml:space="preserve">), lo que representa un </w:t>
      </w:r>
      <w:r w:rsidRPr="002E5290">
        <w:rPr>
          <w:rFonts w:ascii="Arial" w:eastAsia="Calibri" w:hAnsi="Arial" w:cs="Arial"/>
          <w:b/>
          <w:bCs/>
          <w:kern w:val="0"/>
          <w:sz w:val="24"/>
          <w14:ligatures w14:val="none"/>
        </w:rPr>
        <w:t>avance del 30.53%</w:t>
      </w:r>
      <w:r w:rsidRPr="002E5290">
        <w:rPr>
          <w:rFonts w:ascii="Arial" w:eastAsia="Calibri" w:hAnsi="Arial" w:cs="Arial"/>
          <w:kern w:val="0"/>
          <w:sz w:val="24"/>
          <w14:ligatures w14:val="none"/>
        </w:rPr>
        <w:t xml:space="preserve"> respecto al monto proyectado en la </w:t>
      </w:r>
      <w:r w:rsidRPr="002E5290">
        <w:rPr>
          <w:rFonts w:ascii="Arial" w:eastAsia="Calibri" w:hAnsi="Arial" w:cs="Arial"/>
          <w:b/>
          <w:bCs/>
          <w:kern w:val="0"/>
          <w:sz w:val="24"/>
          <w14:ligatures w14:val="none"/>
        </w:rPr>
        <w:t>Ley Número 468 de Ingresos</w:t>
      </w:r>
      <w:r w:rsidRPr="002E5290">
        <w:rPr>
          <w:rFonts w:ascii="Arial" w:eastAsia="Calibri" w:hAnsi="Arial" w:cs="Arial"/>
          <w:kern w:val="0"/>
          <w:sz w:val="24"/>
          <w14:ligatures w14:val="none"/>
        </w:rPr>
        <w:t>, aprobado para el presente ejercicio.</w:t>
      </w:r>
    </w:p>
    <w:p w14:paraId="5F558DCE" w14:textId="2FDAD26F" w:rsidR="008A69CB" w:rsidRDefault="002E5290" w:rsidP="00390849">
      <w:pPr>
        <w:spacing w:after="0" w:line="360" w:lineRule="auto"/>
        <w:jc w:val="both"/>
        <w:rPr>
          <w:rFonts w:ascii="Arial" w:eastAsiaTheme="majorEastAsia" w:hAnsi="Arial" w:cs="Arial"/>
          <w:b/>
          <w:color w:val="000000" w:themeColor="text1"/>
          <w:sz w:val="24"/>
          <w:szCs w:val="24"/>
        </w:rPr>
      </w:pPr>
      <w:r>
        <w:rPr>
          <w:noProof/>
        </w:rPr>
        <w:lastRenderedPageBreak/>
        <w:drawing>
          <wp:inline distT="0" distB="0" distL="0" distR="0" wp14:anchorId="78C7B467" wp14:editId="66A88312">
            <wp:extent cx="5612130" cy="2592125"/>
            <wp:effectExtent l="0" t="0" r="7620" b="17780"/>
            <wp:docPr id="1" name="Gráfico 1">
              <a:extLst xmlns:a="http://schemas.openxmlformats.org/drawingml/2006/main">
                <a:ext uri="{FF2B5EF4-FFF2-40B4-BE49-F238E27FC236}">
                  <a16:creationId xmlns:a16="http://schemas.microsoft.com/office/drawing/2014/main" id="{43074DA4-E108-4EE6-89A4-8283C4ABD1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1AFF4C4" w14:textId="6547021A" w:rsidR="00146616" w:rsidRDefault="00C22480" w:rsidP="00C339EB">
      <w:pPr>
        <w:spacing w:before="120" w:after="240" w:line="240" w:lineRule="auto"/>
        <w:jc w:val="center"/>
        <w:rPr>
          <w:rFonts w:ascii="Arial" w:eastAsia="Calibri" w:hAnsi="Arial" w:cs="Arial"/>
          <w:noProof/>
          <w:kern w:val="0"/>
          <w:sz w:val="24"/>
          <w:lang w:eastAsia="es-MX"/>
          <w14:ligatures w14:val="none"/>
        </w:rPr>
      </w:pPr>
      <w:r w:rsidRPr="00C22480">
        <w:rPr>
          <w:rFonts w:ascii="Arial" w:eastAsia="Times New Roman" w:hAnsi="Arial" w:cs="Arial"/>
          <w:b/>
          <w:noProof/>
          <w:kern w:val="0"/>
          <w:sz w:val="24"/>
          <w:szCs w:val="26"/>
          <w14:ligatures w14:val="none"/>
        </w:rPr>
        <mc:AlternateContent>
          <mc:Choice Requires="wps">
            <w:drawing>
              <wp:anchor distT="0" distB="0" distL="114300" distR="114300" simplePos="0" relativeHeight="251783168" behindDoc="1" locked="0" layoutInCell="1" allowOverlap="1" wp14:anchorId="262F37AE" wp14:editId="7C77E2A7">
                <wp:simplePos x="0" y="0"/>
                <wp:positionH relativeFrom="margin">
                  <wp:posOffset>0</wp:posOffset>
                </wp:positionH>
                <wp:positionV relativeFrom="paragraph">
                  <wp:posOffset>-635</wp:posOffset>
                </wp:positionV>
                <wp:extent cx="4657725" cy="371475"/>
                <wp:effectExtent l="0" t="0" r="0" b="0"/>
                <wp:wrapNone/>
                <wp:docPr id="5" name="Rectángulo 5"/>
                <wp:cNvGraphicFramePr/>
                <a:graphic xmlns:a="http://schemas.openxmlformats.org/drawingml/2006/main">
                  <a:graphicData uri="http://schemas.microsoft.com/office/word/2010/wordprocessingShape">
                    <wps:wsp>
                      <wps:cNvSpPr/>
                      <wps:spPr>
                        <a:xfrm>
                          <a:off x="0" y="0"/>
                          <a:ext cx="4657725" cy="371475"/>
                        </a:xfrm>
                        <a:prstGeom prst="rect">
                          <a:avLst/>
                        </a:prstGeom>
                        <a:noFill/>
                        <a:ln w="12700" cap="flat" cmpd="sng" algn="ctr">
                          <a:noFill/>
                          <a:prstDash val="solid"/>
                          <a:miter lim="800000"/>
                        </a:ln>
                        <a:effectLst/>
                      </wps:spPr>
                      <wps:txbx>
                        <w:txbxContent>
                          <w:p w14:paraId="59A2F1B8" w14:textId="77777777" w:rsidR="00C22480" w:rsidRPr="00C22480" w:rsidRDefault="00C22480" w:rsidP="00C22480">
                            <w:pPr>
                              <w:jc w:val="center"/>
                              <w:rPr>
                                <w:rFonts w:ascii="Arial" w:hAnsi="Arial" w:cs="Arial"/>
                                <w:color w:val="000000"/>
                                <w:sz w:val="16"/>
                                <w:szCs w:val="14"/>
                              </w:rPr>
                            </w:pPr>
                            <w:r w:rsidRPr="00C22480">
                              <w:rPr>
                                <w:rFonts w:ascii="Arial" w:hAnsi="Arial" w:cs="Arial"/>
                                <w:color w:val="000000"/>
                                <w:sz w:val="16"/>
                                <w:szCs w:val="14"/>
                              </w:rPr>
                              <w:t>Fuente: Departamento de Control de Ingresos de la Subsecretaría de Ingresos de SEFINA.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F37AE" id="Rectángulo 5" o:spid="_x0000_s1026" style="position:absolute;left:0;text-align:left;margin-left:0;margin-top:-.05pt;width:366.75pt;height:29.25pt;z-index:-251533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" filled="f" stroked="f" strokeweight="1pt">
                <v:textbox>
                  <w:txbxContent>
                    <w:p w14:paraId="59A2F1B8" w14:textId="77777777" w:rsidR="00C22480" w:rsidRPr="00C22480" w:rsidRDefault="00C22480" w:rsidP="00C22480">
                      <w:pPr>
                        <w:jc w:val="center"/>
                        <w:rPr>
                          <w:rFonts w:ascii="Arial" w:hAnsi="Arial" w:cs="Arial"/>
                          <w:color w:val="000000"/>
                          <w:sz w:val="16"/>
                          <w:szCs w:val="14"/>
                        </w:rPr>
                      </w:pPr>
                      <w:r w:rsidRPr="00C22480">
                        <w:rPr>
                          <w:rFonts w:ascii="Arial" w:hAnsi="Arial" w:cs="Arial"/>
                          <w:color w:val="000000"/>
                          <w:sz w:val="16"/>
                          <w:szCs w:val="14"/>
                        </w:rPr>
                        <w:t>Fuente: Departamento de Control de Ingresos de la Subsecretaría de Ingresos de SEFINA.</w:t>
                      </w:r>
                    </w:p>
                  </w:txbxContent>
                </v:textbox>
                <w10:wrap anchorx="margin"/>
              </v:rect>
            </w:pict>
          </mc:Fallback>
        </mc:AlternateContent>
      </w:r>
    </w:p>
    <w:p w14:paraId="75611E6A" w14:textId="65415F38" w:rsidR="007211FB" w:rsidRDefault="007211FB" w:rsidP="004A4A1C">
      <w:pPr>
        <w:rPr>
          <w:rFonts w:ascii="Arial" w:eastAsia="Calibri" w:hAnsi="Arial" w:cs="Arial"/>
          <w:kern w:val="0"/>
          <w:sz w:val="24"/>
          <w14:ligatures w14:val="none"/>
        </w:rPr>
      </w:pPr>
      <w:bookmarkStart w:id="8" w:name="_Ref39234527"/>
      <w:bookmarkStart w:id="9" w:name="_Toc70596631"/>
    </w:p>
    <w:p w14:paraId="47B4298F" w14:textId="69B94312" w:rsidR="0099083F" w:rsidRDefault="0099083F" w:rsidP="0099083F">
      <w:pPr>
        <w:pStyle w:val="Ttulo3"/>
        <w:spacing w:after="0" w:line="360" w:lineRule="auto"/>
        <w:jc w:val="both"/>
        <w:rPr>
          <w:rFonts w:ascii="Arial" w:hAnsi="Arial" w:cs="Arial"/>
          <w:b/>
          <w:bCs/>
          <w:color w:val="000000" w:themeColor="text1"/>
          <w:sz w:val="24"/>
          <w:szCs w:val="24"/>
        </w:rPr>
      </w:pPr>
      <w:r w:rsidRPr="00046863">
        <w:rPr>
          <w:rFonts w:ascii="Arial" w:hAnsi="Arial" w:cs="Arial"/>
          <w:b/>
          <w:bCs/>
          <w:color w:val="000000" w:themeColor="text1"/>
          <w:sz w:val="24"/>
          <w:szCs w:val="24"/>
        </w:rPr>
        <w:t>INGRESOS DE GESTIÓN RECAUDADOS</w:t>
      </w:r>
    </w:p>
    <w:p w14:paraId="034EFB36" w14:textId="77777777" w:rsidR="005F5553" w:rsidRPr="005F5553" w:rsidRDefault="005F5553" w:rsidP="005F5553">
      <w:pPr>
        <w:rPr>
          <w:lang w:eastAsia="es-MX"/>
        </w:rPr>
      </w:pPr>
    </w:p>
    <w:p w14:paraId="1B10AC73" w14:textId="357024C7" w:rsidR="00C339EB" w:rsidRDefault="002E5290" w:rsidP="005F5553">
      <w:pPr>
        <w:spacing w:line="360" w:lineRule="auto"/>
        <w:ind w:left="-397"/>
        <w:jc w:val="both"/>
        <w:rPr>
          <w:lang w:eastAsia="es-MX"/>
        </w:rPr>
      </w:pPr>
      <w:r w:rsidRPr="002E5290">
        <w:rPr>
          <w:rFonts w:ascii="Arial" w:eastAsia="Times New Roman" w:hAnsi="Arial" w:cs="Arial"/>
          <w:kern w:val="0"/>
          <w:sz w:val="24"/>
          <w:szCs w:val="24"/>
          <w:lang w:eastAsia="es-MX"/>
          <w14:ligatures w14:val="none"/>
        </w:rPr>
        <w:t xml:space="preserve">Los Ingresos de Gestión recaudados al primer trimestre de 2026 ascendieron a  </w:t>
      </w:r>
      <w:r w:rsidRPr="002E5290">
        <w:rPr>
          <w:rFonts w:ascii="Helvetica" w:eastAsia="Calibri" w:hAnsi="Helvetica" w:cs="Times New Roman"/>
          <w:kern w:val="0"/>
          <w:sz w:val="24"/>
          <w14:ligatures w14:val="none"/>
        </w:rPr>
        <w:t xml:space="preserve"> </w:t>
      </w:r>
      <w:r w:rsidRPr="002E5290">
        <w:rPr>
          <w:rFonts w:ascii="Helvetica" w:eastAsia="Calibri" w:hAnsi="Helvetica" w:cs="Times New Roman"/>
          <w:b/>
          <w:bCs/>
          <w:kern w:val="0"/>
          <w:sz w:val="24"/>
          <w14:ligatures w14:val="none"/>
        </w:rPr>
        <w:t>$</w:t>
      </w:r>
      <w:r w:rsidRPr="002E5290">
        <w:rPr>
          <w:rFonts w:ascii="Arial" w:eastAsia="Times New Roman" w:hAnsi="Arial" w:cs="Arial"/>
          <w:b/>
          <w:bCs/>
          <w:kern w:val="0"/>
          <w:sz w:val="24"/>
          <w:szCs w:val="24"/>
          <w:lang w:eastAsia="es-MX"/>
          <w14:ligatures w14:val="none"/>
        </w:rPr>
        <w:t xml:space="preserve">1,074,663,011.06 </w:t>
      </w:r>
      <w:r w:rsidRPr="002E5290">
        <w:rPr>
          <w:rFonts w:ascii="Arial" w:eastAsia="Times New Roman" w:hAnsi="Arial" w:cs="Arial"/>
          <w:kern w:val="0"/>
          <w:sz w:val="24"/>
          <w:szCs w:val="24"/>
          <w:lang w:eastAsia="es-MX"/>
          <w14:ligatures w14:val="none"/>
        </w:rPr>
        <w:t>(</w:t>
      </w:r>
      <w:r w:rsidRPr="002E5290">
        <w:rPr>
          <w:rFonts w:ascii="Arial" w:eastAsia="Times New Roman" w:hAnsi="Arial" w:cs="Arial"/>
          <w:b/>
          <w:bCs/>
          <w:kern w:val="0"/>
          <w:sz w:val="24"/>
          <w:szCs w:val="24"/>
          <w:lang w:eastAsia="es-MX"/>
          <w14:ligatures w14:val="none"/>
        </w:rPr>
        <w:t>Mil setenta y cuatro millones seiscientos sesenta y tres mil once pesos 06/100 M.N.</w:t>
      </w:r>
      <w:r w:rsidRPr="002E5290">
        <w:rPr>
          <w:rFonts w:ascii="Arial" w:eastAsia="Times New Roman" w:hAnsi="Arial" w:cs="Arial"/>
          <w:kern w:val="0"/>
          <w:sz w:val="24"/>
          <w:szCs w:val="24"/>
          <w:lang w:eastAsia="es-MX"/>
          <w14:ligatures w14:val="none"/>
        </w:rPr>
        <w:t xml:space="preserve">), monto que representa un </w:t>
      </w:r>
      <w:r w:rsidRPr="002E5290">
        <w:rPr>
          <w:rFonts w:ascii="Arial" w:eastAsia="Times New Roman" w:hAnsi="Arial" w:cs="Arial"/>
          <w:b/>
          <w:bCs/>
          <w:kern w:val="0"/>
          <w:sz w:val="24"/>
          <w:szCs w:val="24"/>
          <w:lang w:eastAsia="es-MX"/>
          <w14:ligatures w14:val="none"/>
        </w:rPr>
        <w:t>avance del 122.94%</w:t>
      </w:r>
      <w:r w:rsidRPr="002E5290">
        <w:rPr>
          <w:rFonts w:ascii="Arial" w:eastAsia="Times New Roman" w:hAnsi="Arial" w:cs="Arial"/>
          <w:kern w:val="0"/>
          <w:sz w:val="24"/>
          <w:szCs w:val="24"/>
          <w:lang w:eastAsia="es-MX"/>
          <w14:ligatures w14:val="none"/>
        </w:rPr>
        <w:t xml:space="preserve"> respecto a lo estimado en la </w:t>
      </w:r>
      <w:r w:rsidRPr="002E5290">
        <w:rPr>
          <w:rFonts w:ascii="Arial" w:eastAsia="Times New Roman" w:hAnsi="Arial" w:cs="Arial"/>
          <w:b/>
          <w:bCs/>
          <w:kern w:val="0"/>
          <w:sz w:val="24"/>
          <w:szCs w:val="24"/>
          <w:lang w:eastAsia="es-MX"/>
          <w14:ligatures w14:val="none"/>
        </w:rPr>
        <w:t>Ley de Ingresos del Estado de Guerrero</w:t>
      </w:r>
      <w:r w:rsidRPr="002E5290">
        <w:rPr>
          <w:rFonts w:ascii="Arial" w:eastAsia="Times New Roman" w:hAnsi="Arial" w:cs="Arial"/>
          <w:kern w:val="0"/>
          <w:sz w:val="24"/>
          <w:szCs w:val="24"/>
          <w:lang w:eastAsia="es-MX"/>
          <w14:ligatures w14:val="none"/>
        </w:rPr>
        <w:t xml:space="preserve"> para el ejercicio fiscal</w:t>
      </w:r>
      <w:r>
        <w:rPr>
          <w:rFonts w:ascii="Arial" w:eastAsia="Times New Roman" w:hAnsi="Arial" w:cs="Arial"/>
          <w:kern w:val="0"/>
          <w:sz w:val="24"/>
          <w:szCs w:val="24"/>
          <w:lang w:eastAsia="es-MX"/>
          <w14:ligatures w14:val="none"/>
        </w:rPr>
        <w:t xml:space="preserve"> correspondiente.</w:t>
      </w:r>
    </w:p>
    <w:p w14:paraId="38F0B7A8" w14:textId="2F948BDB" w:rsidR="005F5553" w:rsidRDefault="002E5290" w:rsidP="005F5553">
      <w:pPr>
        <w:rPr>
          <w:rFonts w:ascii="Helvetica" w:eastAsia="Calibri" w:hAnsi="Helvetica" w:cs="Times New Roman"/>
          <w:noProof/>
          <w:kern w:val="0"/>
          <w:sz w:val="24"/>
          <w14:ligatures w14:val="none"/>
        </w:rPr>
      </w:pPr>
      <w:r>
        <w:rPr>
          <w:noProof/>
        </w:rPr>
        <w:drawing>
          <wp:anchor distT="0" distB="0" distL="114300" distR="114300" simplePos="0" relativeHeight="251805696" behindDoc="1" locked="0" layoutInCell="1" allowOverlap="1" wp14:anchorId="046D6BDC" wp14:editId="0ADB8900">
            <wp:simplePos x="0" y="0"/>
            <wp:positionH relativeFrom="margin">
              <wp:align>left</wp:align>
            </wp:positionH>
            <wp:positionV relativeFrom="paragraph">
              <wp:posOffset>283166</wp:posOffset>
            </wp:positionV>
            <wp:extent cx="5794375" cy="1971923"/>
            <wp:effectExtent l="0" t="0" r="15875" b="9525"/>
            <wp:wrapNone/>
            <wp:docPr id="2" name="Gráfico 2">
              <a:extLst xmlns:a="http://schemas.openxmlformats.org/drawingml/2006/main">
                <a:ext uri="{FF2B5EF4-FFF2-40B4-BE49-F238E27FC236}">
                  <a16:creationId xmlns:a16="http://schemas.microsoft.com/office/drawing/2014/main" id="{A89F6403-AEA4-4A2E-84D0-72529685FF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p>
    <w:p w14:paraId="70C62A05" w14:textId="77777777" w:rsidR="005F5553" w:rsidRDefault="005F5553" w:rsidP="005F5553">
      <w:pPr>
        <w:rPr>
          <w:rFonts w:ascii="Helvetica" w:eastAsia="Calibri" w:hAnsi="Helvetica" w:cs="Times New Roman"/>
          <w:noProof/>
          <w:kern w:val="0"/>
          <w:sz w:val="24"/>
          <w14:ligatures w14:val="none"/>
        </w:rPr>
      </w:pPr>
    </w:p>
    <w:p w14:paraId="69F8BF80" w14:textId="77777777" w:rsidR="00C339EB" w:rsidRDefault="00C339EB" w:rsidP="00C22480">
      <w:pPr>
        <w:spacing w:after="100" w:afterAutospacing="1" w:line="240" w:lineRule="auto"/>
        <w:jc w:val="both"/>
        <w:rPr>
          <w:rFonts w:ascii="Helvetica" w:eastAsia="Calibri" w:hAnsi="Helvetica" w:cs="Times New Roman"/>
          <w:noProof/>
          <w:kern w:val="0"/>
          <w:sz w:val="24"/>
          <w14:ligatures w14:val="none"/>
        </w:rPr>
      </w:pPr>
    </w:p>
    <w:p w14:paraId="6DBB24AE" w14:textId="77777777" w:rsidR="00C339EB" w:rsidRDefault="00C339EB" w:rsidP="00C22480">
      <w:pPr>
        <w:spacing w:after="100" w:afterAutospacing="1" w:line="240" w:lineRule="auto"/>
        <w:jc w:val="both"/>
        <w:rPr>
          <w:rFonts w:ascii="Helvetica" w:eastAsia="Calibri" w:hAnsi="Helvetica" w:cs="Times New Roman"/>
          <w:noProof/>
          <w:kern w:val="0"/>
          <w:sz w:val="24"/>
          <w14:ligatures w14:val="none"/>
        </w:rPr>
      </w:pPr>
    </w:p>
    <w:p w14:paraId="26AFE091" w14:textId="77777777" w:rsidR="00C339EB" w:rsidRDefault="00C339EB" w:rsidP="00C22480">
      <w:pPr>
        <w:spacing w:after="100" w:afterAutospacing="1" w:line="240" w:lineRule="auto"/>
        <w:jc w:val="both"/>
        <w:rPr>
          <w:rFonts w:ascii="Helvetica" w:eastAsia="Calibri" w:hAnsi="Helvetica" w:cs="Times New Roman"/>
          <w:noProof/>
          <w:kern w:val="0"/>
          <w:sz w:val="24"/>
          <w14:ligatures w14:val="none"/>
        </w:rPr>
      </w:pPr>
    </w:p>
    <w:p w14:paraId="6105DA89" w14:textId="389DAAFD" w:rsidR="00C339EB" w:rsidRDefault="00C339EB" w:rsidP="00C22480">
      <w:pPr>
        <w:spacing w:after="100" w:afterAutospacing="1" w:line="240" w:lineRule="auto"/>
        <w:jc w:val="both"/>
        <w:rPr>
          <w:rFonts w:ascii="Helvetica" w:eastAsia="Calibri" w:hAnsi="Helvetica" w:cs="Times New Roman"/>
          <w:noProof/>
          <w:kern w:val="0"/>
          <w:sz w:val="24"/>
          <w14:ligatures w14:val="none"/>
        </w:rPr>
      </w:pPr>
    </w:p>
    <w:p w14:paraId="13B570FF" w14:textId="77777777" w:rsidR="00C339EB" w:rsidRPr="00C22480" w:rsidRDefault="00C339EB" w:rsidP="00C22480">
      <w:pPr>
        <w:spacing w:after="100" w:afterAutospacing="1" w:line="240" w:lineRule="auto"/>
        <w:jc w:val="both"/>
        <w:rPr>
          <w:rFonts w:ascii="Times New Roman" w:eastAsia="Times New Roman" w:hAnsi="Times New Roman" w:cs="Times New Roman"/>
          <w:kern w:val="0"/>
          <w:sz w:val="24"/>
          <w:szCs w:val="24"/>
          <w:lang w:eastAsia="es-MX"/>
          <w14:ligatures w14:val="none"/>
        </w:rPr>
      </w:pPr>
    </w:p>
    <w:p w14:paraId="123778FE" w14:textId="672AEC5D" w:rsidR="00C22480" w:rsidRDefault="00C22480" w:rsidP="008C1F1B">
      <w:pPr>
        <w:rPr>
          <w:noProof/>
        </w:rPr>
      </w:pPr>
      <w:r w:rsidRPr="00C22480">
        <w:rPr>
          <w:rFonts w:ascii="Arial" w:eastAsia="Times New Roman" w:hAnsi="Arial" w:cs="Arial"/>
          <w:b/>
          <w:noProof/>
          <w:kern w:val="0"/>
          <w:sz w:val="24"/>
          <w:szCs w:val="26"/>
          <w14:ligatures w14:val="none"/>
        </w:rPr>
        <mc:AlternateContent>
          <mc:Choice Requires="wps">
            <w:drawing>
              <wp:anchor distT="0" distB="0" distL="114300" distR="114300" simplePos="0" relativeHeight="251787264" behindDoc="1" locked="0" layoutInCell="1" allowOverlap="1" wp14:anchorId="74BA9EDF" wp14:editId="0791909C">
                <wp:simplePos x="0" y="0"/>
                <wp:positionH relativeFrom="margin">
                  <wp:align>left</wp:align>
                </wp:positionH>
                <wp:positionV relativeFrom="paragraph">
                  <wp:posOffset>12094</wp:posOffset>
                </wp:positionV>
                <wp:extent cx="4657725" cy="453224"/>
                <wp:effectExtent l="0" t="0" r="0" b="4445"/>
                <wp:wrapNone/>
                <wp:docPr id="26" name="Rectángulo 26"/>
                <wp:cNvGraphicFramePr/>
                <a:graphic xmlns:a="http://schemas.openxmlformats.org/drawingml/2006/main">
                  <a:graphicData uri="http://schemas.microsoft.com/office/word/2010/wordprocessingShape">
                    <wps:wsp>
                      <wps:cNvSpPr/>
                      <wps:spPr>
                        <a:xfrm>
                          <a:off x="0" y="0"/>
                          <a:ext cx="4657725" cy="453224"/>
                        </a:xfrm>
                        <a:prstGeom prst="rect">
                          <a:avLst/>
                        </a:prstGeom>
                        <a:noFill/>
                        <a:ln w="12700" cap="flat" cmpd="sng" algn="ctr">
                          <a:noFill/>
                          <a:prstDash val="solid"/>
                          <a:miter lim="800000"/>
                        </a:ln>
                        <a:effectLst/>
                      </wps:spPr>
                      <wps:txbx>
                        <w:txbxContent>
                          <w:p w14:paraId="0D584874" w14:textId="2BF9225D" w:rsidR="00C22480" w:rsidRPr="00C22480" w:rsidRDefault="00C339EB" w:rsidP="00C339EB">
                            <w:pPr>
                              <w:spacing w:after="0" w:line="240" w:lineRule="atLeast"/>
                              <w:rPr>
                                <w:rFonts w:ascii="Arial" w:hAnsi="Arial" w:cs="Arial"/>
                                <w:color w:val="000000"/>
                                <w:sz w:val="16"/>
                                <w:szCs w:val="14"/>
                              </w:rPr>
                            </w:pPr>
                            <w:r>
                              <w:rPr>
                                <w:rFonts w:ascii="Arial" w:hAnsi="Arial" w:cs="Arial"/>
                                <w:color w:val="000000"/>
                                <w:sz w:val="16"/>
                                <w:szCs w:val="14"/>
                              </w:rPr>
                              <w:t xml:space="preserve">            </w:t>
                            </w:r>
                            <w:r w:rsidR="00C22480" w:rsidRPr="00C22480">
                              <w:rPr>
                                <w:rFonts w:ascii="Arial" w:hAnsi="Arial" w:cs="Arial"/>
                                <w:color w:val="000000"/>
                                <w:sz w:val="16"/>
                                <w:szCs w:val="14"/>
                              </w:rPr>
                              <w:t>Fuente: Departamento de Control de Ingresos, Subsecretaría de Ingresos.</w:t>
                            </w:r>
                          </w:p>
                          <w:p w14:paraId="0EE03D52" w14:textId="77777777" w:rsidR="00C22480" w:rsidRPr="00C22480" w:rsidRDefault="00C22480" w:rsidP="00C22480">
                            <w:pPr>
                              <w:spacing w:after="0" w:line="240" w:lineRule="atLeast"/>
                              <w:jc w:val="center"/>
                              <w:rPr>
                                <w:rFonts w:ascii="Arial" w:hAnsi="Arial" w:cs="Arial"/>
                                <w:color w:val="000000"/>
                                <w:sz w:val="16"/>
                                <w:szCs w:val="14"/>
                              </w:rPr>
                            </w:pPr>
                            <w:r w:rsidRPr="00C22480">
                              <w:rPr>
                                <w:rFonts w:ascii="Arial" w:hAnsi="Arial" w:cs="Arial"/>
                                <w:color w:val="000000"/>
                                <w:sz w:val="16"/>
                                <w:szCs w:val="14"/>
                              </w:rPr>
                              <w:t>Elaboración: Departamento de Atención al Sistema Nacional de Coordinación Fiscal.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BA9EDF" id="Rectángulo 26" o:spid="_x0000_s1027" style="position:absolute;margin-left:0;margin-top:.95pt;width:366.75pt;height:35.7pt;z-index:-2515292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" filled="f" stroked="f" strokeweight="1pt">
                <v:textbox>
                  <w:txbxContent>
                    <w:p w14:paraId="0D584874" w14:textId="2BF9225D" w:rsidR="00C22480" w:rsidRPr="00C22480" w:rsidRDefault="00C339EB" w:rsidP="00C339EB">
                      <w:pPr>
                        <w:spacing w:after="0" w:line="240" w:lineRule="atLeast"/>
                        <w:rPr>
                          <w:rFonts w:ascii="Arial" w:hAnsi="Arial" w:cs="Arial"/>
                          <w:color w:val="000000"/>
                          <w:sz w:val="16"/>
                          <w:szCs w:val="14"/>
                        </w:rPr>
                      </w:pPr>
                      <w:r>
                        <w:rPr>
                          <w:rFonts w:ascii="Arial" w:hAnsi="Arial" w:cs="Arial"/>
                          <w:color w:val="000000"/>
                          <w:sz w:val="16"/>
                          <w:szCs w:val="14"/>
                        </w:rPr>
                        <w:t xml:space="preserve">            </w:t>
                      </w:r>
                      <w:r w:rsidR="00C22480" w:rsidRPr="00C22480">
                        <w:rPr>
                          <w:rFonts w:ascii="Arial" w:hAnsi="Arial" w:cs="Arial"/>
                          <w:color w:val="000000"/>
                          <w:sz w:val="16"/>
                          <w:szCs w:val="14"/>
                        </w:rPr>
                        <w:t>Fuente: Departamento de Control de Ingresos, Subsecretaría de Ingresos.</w:t>
                      </w:r>
                    </w:p>
                    <w:p w14:paraId="0EE03D52" w14:textId="77777777" w:rsidR="00C22480" w:rsidRPr="00C22480" w:rsidRDefault="00C22480" w:rsidP="00C22480">
                      <w:pPr>
                        <w:spacing w:after="0" w:line="240" w:lineRule="atLeast"/>
                        <w:jc w:val="center"/>
                        <w:rPr>
                          <w:rFonts w:ascii="Arial" w:hAnsi="Arial" w:cs="Arial"/>
                          <w:color w:val="000000"/>
                          <w:sz w:val="16"/>
                          <w:szCs w:val="14"/>
                        </w:rPr>
                      </w:pPr>
                      <w:r w:rsidRPr="00C22480">
                        <w:rPr>
                          <w:rFonts w:ascii="Arial" w:hAnsi="Arial" w:cs="Arial"/>
                          <w:color w:val="000000"/>
                          <w:sz w:val="16"/>
                          <w:szCs w:val="14"/>
                        </w:rPr>
                        <w:t>Elaboración: Departamento de Atención al Sistema Nacional de Coordinación Fiscal.</w:t>
                      </w:r>
                    </w:p>
                  </w:txbxContent>
                </v:textbox>
                <w10:wrap anchorx="margin"/>
              </v:rect>
            </w:pict>
          </mc:Fallback>
        </mc:AlternateContent>
      </w:r>
    </w:p>
    <w:p w14:paraId="50FEEBE9" w14:textId="5EAD2248" w:rsidR="00C22480" w:rsidRDefault="00C22480" w:rsidP="008C1F1B">
      <w:pPr>
        <w:rPr>
          <w:noProof/>
        </w:rPr>
      </w:pPr>
    </w:p>
    <w:bookmarkEnd w:id="8"/>
    <w:bookmarkEnd w:id="9"/>
    <w:p w14:paraId="000FB5C2" w14:textId="766555FC" w:rsidR="00750FFE" w:rsidRPr="00046863" w:rsidRDefault="0076735E" w:rsidP="005F5553">
      <w:pPr>
        <w:spacing w:before="120" w:after="200" w:line="240" w:lineRule="auto"/>
        <w:ind w:left="-397"/>
        <w:jc w:val="both"/>
        <w:rPr>
          <w:rFonts w:ascii="Arial" w:eastAsia="Calibri" w:hAnsi="Arial" w:cs="Arial"/>
          <w:b/>
          <w:bCs/>
          <w:kern w:val="0"/>
          <w:sz w:val="24"/>
          <w14:ligatures w14:val="none"/>
        </w:rPr>
      </w:pPr>
      <w:r>
        <w:rPr>
          <w:rFonts w:ascii="Arial" w:eastAsia="Calibri" w:hAnsi="Arial" w:cs="Arial"/>
          <w:b/>
          <w:bCs/>
          <w:kern w:val="0"/>
          <w:sz w:val="24"/>
          <w14:ligatures w14:val="none"/>
        </w:rPr>
        <w:t xml:space="preserve">En este apartado de Ingresos de Gestión, </w:t>
      </w:r>
      <w:r w:rsidR="00750FFE" w:rsidRPr="00750FFE">
        <w:rPr>
          <w:rFonts w:ascii="Arial" w:eastAsia="Calibri" w:hAnsi="Arial" w:cs="Arial"/>
          <w:b/>
          <w:bCs/>
          <w:kern w:val="0"/>
          <w:sz w:val="24"/>
          <w14:ligatures w14:val="none"/>
        </w:rPr>
        <w:t>se observó lo siguiente:</w:t>
      </w:r>
    </w:p>
    <w:p w14:paraId="486E6129" w14:textId="32BE0F73" w:rsidR="005D5870" w:rsidRDefault="005D5870" w:rsidP="00084A68">
      <w:bookmarkStart w:id="10" w:name="_Hlk162256339"/>
    </w:p>
    <w:p w14:paraId="253A2B79" w14:textId="77777777" w:rsidR="002E5290" w:rsidRPr="002E5290" w:rsidRDefault="002E5290" w:rsidP="005F5553">
      <w:pPr>
        <w:spacing w:after="0" w:line="240" w:lineRule="auto"/>
        <w:ind w:left="-397"/>
        <w:jc w:val="both"/>
        <w:rPr>
          <w:rFonts w:ascii="Arial" w:eastAsia="Calibri" w:hAnsi="Arial" w:cs="Arial"/>
          <w:kern w:val="0"/>
          <w:sz w:val="24"/>
          <w14:ligatures w14:val="none"/>
        </w:rPr>
      </w:pPr>
      <w:r w:rsidRPr="002E5290">
        <w:rPr>
          <w:rFonts w:ascii="Arial" w:eastAsia="Calibri" w:hAnsi="Arial" w:cs="Arial"/>
          <w:b/>
          <w:bCs/>
          <w:kern w:val="0"/>
          <w:sz w:val="24"/>
          <w14:ligatures w14:val="none"/>
        </w:rPr>
        <w:t>a)</w:t>
      </w:r>
      <w:r w:rsidRPr="002E5290">
        <w:rPr>
          <w:rFonts w:ascii="Arial" w:eastAsia="Calibri" w:hAnsi="Arial" w:cs="Arial"/>
          <w:kern w:val="0"/>
          <w:sz w:val="24"/>
          <w14:ligatures w14:val="none"/>
        </w:rPr>
        <w:t xml:space="preserve"> En </w:t>
      </w:r>
      <w:r w:rsidRPr="002E5290">
        <w:rPr>
          <w:rFonts w:ascii="Arial" w:eastAsia="Calibri" w:hAnsi="Arial" w:cs="Arial"/>
          <w:b/>
          <w:bCs/>
          <w:kern w:val="0"/>
          <w:sz w:val="24"/>
          <w14:ligatures w14:val="none"/>
        </w:rPr>
        <w:t>impuestos</w:t>
      </w:r>
      <w:r w:rsidRPr="002E5290">
        <w:rPr>
          <w:rFonts w:ascii="Arial" w:eastAsia="Calibri" w:hAnsi="Arial" w:cs="Arial"/>
          <w:kern w:val="0"/>
          <w:sz w:val="24"/>
          <w14:ligatures w14:val="none"/>
        </w:rPr>
        <w:t xml:space="preserve">, se recaudaron </w:t>
      </w:r>
      <w:r w:rsidRPr="002E5290">
        <w:rPr>
          <w:rFonts w:ascii="Arial" w:eastAsia="Calibri" w:hAnsi="Arial" w:cs="Arial"/>
          <w:b/>
          <w:bCs/>
          <w:kern w:val="0"/>
          <w:sz w:val="24"/>
          <w14:ligatures w14:val="none"/>
        </w:rPr>
        <w:t>$</w:t>
      </w:r>
      <w:r w:rsidRPr="002E5290">
        <w:rPr>
          <w:rFonts w:ascii="Helvetica" w:eastAsia="Calibri" w:hAnsi="Helvetica" w:cs="Times New Roman"/>
          <w:kern w:val="0"/>
          <w:sz w:val="24"/>
          <w14:ligatures w14:val="none"/>
        </w:rPr>
        <w:t xml:space="preserve"> </w:t>
      </w:r>
      <w:r w:rsidRPr="002E5290">
        <w:rPr>
          <w:rFonts w:ascii="Arial" w:eastAsia="Calibri" w:hAnsi="Arial" w:cs="Arial"/>
          <w:b/>
          <w:bCs/>
          <w:kern w:val="0"/>
          <w:sz w:val="24"/>
          <w14:ligatures w14:val="none"/>
        </w:rPr>
        <w:t>919,718,454.18</w:t>
      </w:r>
      <w:r w:rsidRPr="002E5290">
        <w:rPr>
          <w:rFonts w:ascii="Arial" w:eastAsia="Calibri" w:hAnsi="Arial" w:cs="Arial"/>
          <w:kern w:val="0"/>
          <w:sz w:val="24"/>
          <w14:ligatures w14:val="none"/>
        </w:rPr>
        <w:t>, cifra superior en</w:t>
      </w:r>
      <w:r w:rsidRPr="002E5290">
        <w:rPr>
          <w:rFonts w:ascii="Arial" w:eastAsia="Calibri" w:hAnsi="Arial" w:cs="Arial"/>
          <w:b/>
          <w:bCs/>
          <w:kern w:val="0"/>
          <w:sz w:val="24"/>
          <w14:ligatures w14:val="none"/>
        </w:rPr>
        <w:t xml:space="preserve"> 31.00% </w:t>
      </w:r>
      <w:r w:rsidRPr="002E5290">
        <w:rPr>
          <w:rFonts w:ascii="Arial" w:eastAsia="Calibri" w:hAnsi="Arial" w:cs="Arial"/>
          <w:kern w:val="0"/>
          <w:sz w:val="24"/>
          <w14:ligatures w14:val="none"/>
        </w:rPr>
        <w:t>a lo estimado en la Ley Numero 468 de Ingresos del Estado de Guerrero.</w:t>
      </w:r>
    </w:p>
    <w:p w14:paraId="6E25566F" w14:textId="77777777" w:rsidR="005F5553" w:rsidRDefault="005F5553" w:rsidP="005F5553">
      <w:pPr>
        <w:spacing w:after="0" w:line="240" w:lineRule="auto"/>
        <w:ind w:left="-397"/>
        <w:jc w:val="both"/>
        <w:rPr>
          <w:rFonts w:ascii="Arial" w:eastAsia="Calibri" w:hAnsi="Arial" w:cs="Arial"/>
          <w:b/>
          <w:bCs/>
          <w:kern w:val="0"/>
          <w:sz w:val="24"/>
          <w14:ligatures w14:val="none"/>
        </w:rPr>
      </w:pPr>
    </w:p>
    <w:p w14:paraId="43A289DD" w14:textId="4FC9072E" w:rsidR="002E5290" w:rsidRPr="002E5290" w:rsidRDefault="002E5290" w:rsidP="005F5553">
      <w:pPr>
        <w:spacing w:after="0" w:line="240" w:lineRule="auto"/>
        <w:ind w:left="-397"/>
        <w:jc w:val="both"/>
        <w:rPr>
          <w:rFonts w:ascii="Arial" w:eastAsia="Calibri" w:hAnsi="Arial" w:cs="Arial"/>
          <w:b/>
          <w:bCs/>
          <w:kern w:val="0"/>
          <w:sz w:val="24"/>
          <w14:ligatures w14:val="none"/>
        </w:rPr>
      </w:pPr>
      <w:r w:rsidRPr="002E5290">
        <w:rPr>
          <w:rFonts w:ascii="Arial" w:eastAsia="Calibri" w:hAnsi="Arial" w:cs="Arial"/>
          <w:b/>
          <w:bCs/>
          <w:kern w:val="0"/>
          <w:sz w:val="24"/>
          <w14:ligatures w14:val="none"/>
        </w:rPr>
        <w:t>b)</w:t>
      </w:r>
      <w:r w:rsidRPr="002E5290">
        <w:rPr>
          <w:rFonts w:ascii="Arial" w:eastAsia="Calibri" w:hAnsi="Arial" w:cs="Arial"/>
          <w:kern w:val="0"/>
          <w:sz w:val="24"/>
          <w14:ligatures w14:val="none"/>
        </w:rPr>
        <w:t xml:space="preserve"> En </w:t>
      </w:r>
      <w:r w:rsidRPr="002E5290">
        <w:rPr>
          <w:rFonts w:ascii="Arial" w:eastAsia="Calibri" w:hAnsi="Arial" w:cs="Arial"/>
          <w:b/>
          <w:bCs/>
          <w:kern w:val="0"/>
          <w:sz w:val="24"/>
          <w14:ligatures w14:val="none"/>
        </w:rPr>
        <w:t>derechos</w:t>
      </w:r>
      <w:r w:rsidRPr="002E5290">
        <w:rPr>
          <w:rFonts w:ascii="Arial" w:eastAsia="Calibri" w:hAnsi="Arial" w:cs="Arial"/>
          <w:kern w:val="0"/>
          <w:sz w:val="24"/>
          <w14:ligatures w14:val="none"/>
        </w:rPr>
        <w:t xml:space="preserve">, la recaudación ascendió a </w:t>
      </w:r>
      <w:r w:rsidRPr="002E5290">
        <w:rPr>
          <w:rFonts w:ascii="Arial" w:eastAsia="Calibri" w:hAnsi="Arial" w:cs="Arial"/>
          <w:b/>
          <w:bCs/>
          <w:kern w:val="0"/>
          <w:sz w:val="24"/>
          <w14:ligatures w14:val="none"/>
        </w:rPr>
        <w:t>$</w:t>
      </w:r>
      <w:r w:rsidRPr="002E5290">
        <w:rPr>
          <w:rFonts w:ascii="Arial" w:eastAsia="Calibri" w:hAnsi="Arial" w:cs="Arial"/>
          <w:color w:val="000000"/>
          <w:kern w:val="0"/>
          <w14:ligatures w14:val="none"/>
        </w:rPr>
        <w:t xml:space="preserve"> </w:t>
      </w:r>
      <w:r w:rsidRPr="002E5290">
        <w:rPr>
          <w:rFonts w:ascii="Arial" w:eastAsia="Calibri" w:hAnsi="Arial" w:cs="Arial"/>
          <w:b/>
          <w:bCs/>
          <w:kern w:val="0"/>
          <w:sz w:val="24"/>
          <w14:ligatures w14:val="none"/>
        </w:rPr>
        <w:t>142,118,521.00</w:t>
      </w:r>
      <w:r w:rsidRPr="002E5290">
        <w:rPr>
          <w:rFonts w:ascii="Arial" w:eastAsia="Calibri" w:hAnsi="Arial" w:cs="Arial"/>
          <w:kern w:val="0"/>
          <w:sz w:val="24"/>
          <w14:ligatures w14:val="none"/>
        </w:rPr>
        <w:t xml:space="preserve">, cifra que representa un decremento del </w:t>
      </w:r>
      <w:r w:rsidRPr="002E5290">
        <w:rPr>
          <w:rFonts w:ascii="Arial" w:eastAsia="Calibri" w:hAnsi="Arial" w:cs="Arial"/>
          <w:b/>
          <w:bCs/>
          <w:kern w:val="0"/>
          <w:sz w:val="24"/>
          <w14:ligatures w14:val="none"/>
        </w:rPr>
        <w:t>12.12%</w:t>
      </w:r>
      <w:r w:rsidRPr="002E5290">
        <w:rPr>
          <w:rFonts w:ascii="Arial" w:eastAsia="Calibri" w:hAnsi="Arial" w:cs="Arial"/>
          <w:kern w:val="0"/>
          <w:sz w:val="24"/>
          <w14:ligatures w14:val="none"/>
        </w:rPr>
        <w:t>.</w:t>
      </w:r>
    </w:p>
    <w:p w14:paraId="10EA8AEE" w14:textId="77777777" w:rsidR="005F5553" w:rsidRDefault="005F5553" w:rsidP="005F5553">
      <w:pPr>
        <w:spacing w:after="0" w:line="240" w:lineRule="auto"/>
        <w:ind w:left="-397"/>
        <w:jc w:val="both"/>
        <w:rPr>
          <w:rFonts w:ascii="Arial" w:eastAsia="Calibri" w:hAnsi="Arial" w:cs="Arial"/>
          <w:b/>
          <w:bCs/>
          <w:kern w:val="0"/>
          <w:sz w:val="24"/>
          <w14:ligatures w14:val="none"/>
        </w:rPr>
      </w:pPr>
    </w:p>
    <w:p w14:paraId="4D8FB302" w14:textId="2971E1A7" w:rsidR="002E5290" w:rsidRPr="002E5290" w:rsidRDefault="002E5290" w:rsidP="005F5553">
      <w:pPr>
        <w:spacing w:after="0" w:line="240" w:lineRule="auto"/>
        <w:ind w:left="-397"/>
        <w:jc w:val="both"/>
        <w:rPr>
          <w:rFonts w:ascii="Arial" w:eastAsia="Calibri" w:hAnsi="Arial" w:cs="Arial"/>
          <w:b/>
          <w:bCs/>
          <w:kern w:val="0"/>
          <w:sz w:val="24"/>
          <w14:ligatures w14:val="none"/>
        </w:rPr>
      </w:pPr>
      <w:r w:rsidRPr="002E5290">
        <w:rPr>
          <w:rFonts w:ascii="Arial" w:eastAsia="Calibri" w:hAnsi="Arial" w:cs="Arial"/>
          <w:b/>
          <w:bCs/>
          <w:kern w:val="0"/>
          <w:sz w:val="24"/>
          <w14:ligatures w14:val="none"/>
        </w:rPr>
        <w:t>c)</w:t>
      </w:r>
      <w:r w:rsidRPr="002E5290">
        <w:rPr>
          <w:rFonts w:ascii="Arial" w:eastAsia="Calibri" w:hAnsi="Arial" w:cs="Arial"/>
          <w:kern w:val="0"/>
          <w:sz w:val="24"/>
          <w14:ligatures w14:val="none"/>
        </w:rPr>
        <w:t xml:space="preserve"> En </w:t>
      </w:r>
      <w:r w:rsidRPr="002E5290">
        <w:rPr>
          <w:rFonts w:ascii="Arial" w:eastAsia="Calibri" w:hAnsi="Arial" w:cs="Arial"/>
          <w:b/>
          <w:bCs/>
          <w:kern w:val="0"/>
          <w:sz w:val="24"/>
          <w14:ligatures w14:val="none"/>
        </w:rPr>
        <w:t>productos</w:t>
      </w:r>
      <w:r w:rsidRPr="002E5290">
        <w:rPr>
          <w:rFonts w:ascii="Arial" w:eastAsia="Calibri" w:hAnsi="Arial" w:cs="Arial"/>
          <w:kern w:val="0"/>
          <w:sz w:val="24"/>
          <w14:ligatures w14:val="none"/>
        </w:rPr>
        <w:t xml:space="preserve">, se obtuvieron </w:t>
      </w:r>
      <w:r w:rsidRPr="002E5290">
        <w:rPr>
          <w:rFonts w:ascii="Arial" w:eastAsia="Calibri" w:hAnsi="Arial" w:cs="Arial"/>
          <w:b/>
          <w:bCs/>
          <w:kern w:val="0"/>
          <w:sz w:val="24"/>
          <w14:ligatures w14:val="none"/>
        </w:rPr>
        <w:t>$</w:t>
      </w:r>
      <w:r w:rsidRPr="002E5290">
        <w:rPr>
          <w:rFonts w:ascii="Arial" w:eastAsia="Calibri" w:hAnsi="Arial" w:cs="Arial"/>
          <w:color w:val="000000"/>
          <w:kern w:val="0"/>
          <w14:ligatures w14:val="none"/>
        </w:rPr>
        <w:t xml:space="preserve"> </w:t>
      </w:r>
      <w:r w:rsidRPr="002E5290">
        <w:rPr>
          <w:rFonts w:ascii="Arial" w:eastAsia="Calibri" w:hAnsi="Arial" w:cs="Arial"/>
          <w:b/>
          <w:bCs/>
          <w:kern w:val="0"/>
          <w:sz w:val="24"/>
          <w14:ligatures w14:val="none"/>
        </w:rPr>
        <w:t>8,063,392.88</w:t>
      </w:r>
      <w:r w:rsidRPr="002E5290">
        <w:rPr>
          <w:rFonts w:ascii="Arial" w:eastAsia="Calibri" w:hAnsi="Arial" w:cs="Arial"/>
          <w:kern w:val="0"/>
          <w:sz w:val="24"/>
          <w14:ligatures w14:val="none"/>
        </w:rPr>
        <w:t xml:space="preserve">, monto que </w:t>
      </w:r>
      <w:r w:rsidRPr="002E5290">
        <w:rPr>
          <w:rFonts w:ascii="Arial" w:eastAsia="Calibri" w:hAnsi="Arial" w:cs="Arial"/>
          <w:b/>
          <w:bCs/>
          <w:kern w:val="0"/>
          <w:sz w:val="24"/>
          <w14:ligatures w14:val="none"/>
        </w:rPr>
        <w:t>excede en 8.75%</w:t>
      </w:r>
      <w:r w:rsidRPr="002E5290">
        <w:rPr>
          <w:rFonts w:ascii="Arial" w:eastAsia="Calibri" w:hAnsi="Arial" w:cs="Arial"/>
          <w:kern w:val="0"/>
          <w:sz w:val="24"/>
          <w14:ligatures w14:val="none"/>
        </w:rPr>
        <w:t xml:space="preserve"> lo estimado.</w:t>
      </w:r>
    </w:p>
    <w:p w14:paraId="0E1A9D10" w14:textId="77777777" w:rsidR="005F5553" w:rsidRDefault="005F5553" w:rsidP="005F5553">
      <w:pPr>
        <w:spacing w:after="0" w:line="240" w:lineRule="auto"/>
        <w:ind w:left="-397"/>
        <w:jc w:val="both"/>
        <w:rPr>
          <w:rFonts w:ascii="Arial" w:eastAsia="Calibri" w:hAnsi="Arial" w:cs="Arial"/>
          <w:b/>
          <w:bCs/>
          <w:kern w:val="0"/>
          <w:sz w:val="24"/>
          <w14:ligatures w14:val="none"/>
        </w:rPr>
      </w:pPr>
    </w:p>
    <w:p w14:paraId="1CD337C2" w14:textId="10E075F9" w:rsidR="002E5290" w:rsidRPr="002E5290" w:rsidRDefault="002E5290" w:rsidP="005F5553">
      <w:pPr>
        <w:spacing w:after="0" w:line="240" w:lineRule="auto"/>
        <w:ind w:left="-397"/>
        <w:jc w:val="both"/>
        <w:rPr>
          <w:rFonts w:ascii="Arial" w:eastAsia="Calibri" w:hAnsi="Arial" w:cs="Arial"/>
          <w:kern w:val="0"/>
          <w:sz w:val="24"/>
          <w14:ligatures w14:val="none"/>
        </w:rPr>
      </w:pPr>
      <w:r w:rsidRPr="002E5290">
        <w:rPr>
          <w:rFonts w:ascii="Arial" w:eastAsia="Calibri" w:hAnsi="Arial" w:cs="Arial"/>
          <w:b/>
          <w:bCs/>
          <w:kern w:val="0"/>
          <w:sz w:val="24"/>
          <w14:ligatures w14:val="none"/>
        </w:rPr>
        <w:t>d)</w:t>
      </w:r>
      <w:r w:rsidRPr="002E5290">
        <w:rPr>
          <w:rFonts w:ascii="Arial" w:eastAsia="Calibri" w:hAnsi="Arial" w:cs="Arial"/>
          <w:kern w:val="0"/>
          <w:sz w:val="24"/>
          <w14:ligatures w14:val="none"/>
        </w:rPr>
        <w:t xml:space="preserve"> En </w:t>
      </w:r>
      <w:r w:rsidRPr="002E5290">
        <w:rPr>
          <w:rFonts w:ascii="Arial" w:eastAsia="Calibri" w:hAnsi="Arial" w:cs="Arial"/>
          <w:b/>
          <w:bCs/>
          <w:kern w:val="0"/>
          <w:sz w:val="24"/>
          <w14:ligatures w14:val="none"/>
        </w:rPr>
        <w:t>aprovechamientos</w:t>
      </w:r>
      <w:r w:rsidRPr="002E5290">
        <w:rPr>
          <w:rFonts w:ascii="Arial" w:eastAsia="Calibri" w:hAnsi="Arial" w:cs="Arial"/>
          <w:kern w:val="0"/>
          <w:sz w:val="24"/>
          <w14:ligatures w14:val="none"/>
        </w:rPr>
        <w:t xml:space="preserve">, se recaudaron </w:t>
      </w:r>
      <w:r w:rsidRPr="002E5290">
        <w:rPr>
          <w:rFonts w:ascii="Arial" w:eastAsia="Calibri" w:hAnsi="Arial" w:cs="Arial"/>
          <w:b/>
          <w:bCs/>
          <w:kern w:val="0"/>
          <w:sz w:val="24"/>
          <w14:ligatures w14:val="none"/>
        </w:rPr>
        <w:t>$</w:t>
      </w:r>
      <w:r w:rsidRPr="002E5290">
        <w:rPr>
          <w:rFonts w:ascii="Helvetica" w:eastAsia="Calibri" w:hAnsi="Helvetica" w:cs="Times New Roman"/>
          <w:kern w:val="0"/>
          <w:sz w:val="24"/>
          <w14:ligatures w14:val="none"/>
        </w:rPr>
        <w:t xml:space="preserve"> </w:t>
      </w:r>
      <w:r w:rsidRPr="002E5290">
        <w:rPr>
          <w:rFonts w:ascii="Arial" w:eastAsia="Calibri" w:hAnsi="Arial" w:cs="Arial"/>
          <w:b/>
          <w:bCs/>
          <w:kern w:val="0"/>
          <w:sz w:val="24"/>
          <w14:ligatures w14:val="none"/>
        </w:rPr>
        <w:t>4,762,467.00</w:t>
      </w:r>
      <w:r w:rsidRPr="002E5290">
        <w:rPr>
          <w:rFonts w:ascii="Arial" w:eastAsia="Calibri" w:hAnsi="Arial" w:cs="Arial"/>
          <w:kern w:val="0"/>
          <w:sz w:val="24"/>
          <w14:ligatures w14:val="none"/>
        </w:rPr>
        <w:t>, equivalente una variación positiva de</w:t>
      </w:r>
      <w:r w:rsidRPr="002E5290">
        <w:rPr>
          <w:rFonts w:ascii="Arial" w:eastAsia="Calibri" w:hAnsi="Arial" w:cs="Arial"/>
          <w:b/>
          <w:bCs/>
          <w:kern w:val="0"/>
          <w:sz w:val="24"/>
          <w14:ligatures w14:val="none"/>
        </w:rPr>
        <w:t xml:space="preserve"> 62.67%</w:t>
      </w:r>
      <w:r w:rsidRPr="002E5290">
        <w:rPr>
          <w:rFonts w:ascii="Arial" w:eastAsia="Calibri" w:hAnsi="Arial" w:cs="Arial"/>
          <w:kern w:val="0"/>
          <w:sz w:val="24"/>
          <w14:ligatures w14:val="none"/>
        </w:rPr>
        <w:t xml:space="preserve"> respecto a lo proyectado.</w:t>
      </w:r>
    </w:p>
    <w:p w14:paraId="406389E4" w14:textId="6302824D" w:rsidR="002E5290" w:rsidRDefault="002E5290" w:rsidP="00084A68"/>
    <w:p w14:paraId="4CB15E75" w14:textId="086E2B4B" w:rsidR="002E5290" w:rsidRPr="002E5290" w:rsidRDefault="002E5290" w:rsidP="002E5290">
      <w:pPr>
        <w:spacing w:after="0" w:line="240" w:lineRule="auto"/>
        <w:ind w:firstLine="284"/>
        <w:jc w:val="center"/>
        <w:rPr>
          <w:rFonts w:ascii="Arial" w:eastAsia="Calibri" w:hAnsi="Arial" w:cs="Arial"/>
          <w:i/>
          <w:iCs/>
          <w:color w:val="595959"/>
          <w:kern w:val="0"/>
          <w:sz w:val="18"/>
          <w:szCs w:val="18"/>
          <w14:ligatures w14:val="none"/>
        </w:rPr>
      </w:pPr>
      <w:r w:rsidRPr="002E5290">
        <w:rPr>
          <w:rFonts w:ascii="Arial" w:eastAsia="Calibri" w:hAnsi="Arial" w:cs="Arial"/>
          <w:i/>
          <w:iCs/>
          <w:color w:val="595959"/>
          <w:kern w:val="0"/>
          <w:sz w:val="18"/>
          <w:szCs w:val="18"/>
          <w14:ligatures w14:val="none"/>
        </w:rPr>
        <w:t>Tabla 3. Ingresos de Gestión al 1er. trimestre de 2026</w:t>
      </w:r>
    </w:p>
    <w:tbl>
      <w:tblPr>
        <w:tblpPr w:leftFromText="141" w:rightFromText="141" w:vertAnchor="text" w:horzAnchor="margin" w:tblpXSpec="center" w:tblpY="236"/>
        <w:tblW w:w="9315" w:type="dxa"/>
        <w:tblCellMar>
          <w:left w:w="70" w:type="dxa"/>
          <w:right w:w="70" w:type="dxa"/>
        </w:tblCellMar>
        <w:tblLook w:val="04A0" w:firstRow="1" w:lastRow="0" w:firstColumn="1" w:lastColumn="0" w:noHBand="0" w:noVBand="1"/>
      </w:tblPr>
      <w:tblGrid>
        <w:gridCol w:w="2091"/>
        <w:gridCol w:w="1451"/>
        <w:gridCol w:w="1584"/>
        <w:gridCol w:w="1542"/>
        <w:gridCol w:w="1716"/>
        <w:gridCol w:w="1000"/>
        <w:gridCol w:w="146"/>
      </w:tblGrid>
      <w:tr w:rsidR="002E5290" w:rsidRPr="002E5290" w14:paraId="16BDA602" w14:textId="77777777" w:rsidTr="00150443">
        <w:trPr>
          <w:gridAfter w:val="1"/>
          <w:wAfter w:w="135" w:type="dxa"/>
          <w:trHeight w:val="459"/>
        </w:trPr>
        <w:tc>
          <w:tcPr>
            <w:tcW w:w="9180" w:type="dxa"/>
            <w:gridSpan w:val="6"/>
            <w:vMerge w:val="restart"/>
            <w:tcBorders>
              <w:top w:val="single" w:sz="4" w:space="0" w:color="auto"/>
              <w:left w:val="single" w:sz="4" w:space="0" w:color="auto"/>
              <w:bottom w:val="nil"/>
              <w:right w:val="nil"/>
            </w:tcBorders>
            <w:shd w:val="clear" w:color="000000" w:fill="AB0033"/>
            <w:noWrap/>
            <w:vAlign w:val="center"/>
            <w:hideMark/>
          </w:tcPr>
          <w:p w14:paraId="4D03681B" w14:textId="77777777" w:rsidR="002E5290" w:rsidRPr="002E5290" w:rsidRDefault="002E5290" w:rsidP="002E5290">
            <w:pPr>
              <w:spacing w:after="0" w:line="240" w:lineRule="auto"/>
              <w:jc w:val="center"/>
              <w:rPr>
                <w:rFonts w:ascii="Arial" w:eastAsia="Times New Roman" w:hAnsi="Arial" w:cs="Arial"/>
                <w:b/>
                <w:bCs/>
                <w:color w:val="FFFFFF"/>
                <w:kern w:val="0"/>
                <w:sz w:val="24"/>
                <w:szCs w:val="24"/>
                <w:lang w:eastAsia="es-MX"/>
                <w14:ligatures w14:val="none"/>
              </w:rPr>
            </w:pPr>
            <w:r w:rsidRPr="002E5290">
              <w:rPr>
                <w:rFonts w:ascii="Arial" w:eastAsia="Times New Roman" w:hAnsi="Arial" w:cs="Arial"/>
                <w:b/>
                <w:bCs/>
                <w:color w:val="FFFFFF"/>
                <w:kern w:val="0"/>
                <w:sz w:val="20"/>
                <w:szCs w:val="20"/>
                <w:lang w:eastAsia="es-MX"/>
                <w14:ligatures w14:val="none"/>
              </w:rPr>
              <w:t>INGRESOS 1er. TRIMESTRE DE 2026</w:t>
            </w:r>
          </w:p>
        </w:tc>
      </w:tr>
      <w:tr w:rsidR="002E5290" w:rsidRPr="002E5290" w14:paraId="0EF55B2A" w14:textId="77777777" w:rsidTr="00150443">
        <w:trPr>
          <w:trHeight w:val="56"/>
        </w:trPr>
        <w:tc>
          <w:tcPr>
            <w:tcW w:w="9180" w:type="dxa"/>
            <w:gridSpan w:val="6"/>
            <w:vMerge/>
            <w:tcBorders>
              <w:top w:val="single" w:sz="4" w:space="0" w:color="auto"/>
              <w:left w:val="single" w:sz="4" w:space="0" w:color="auto"/>
              <w:bottom w:val="nil"/>
              <w:right w:val="nil"/>
            </w:tcBorders>
            <w:vAlign w:val="center"/>
            <w:hideMark/>
          </w:tcPr>
          <w:p w14:paraId="0496582C" w14:textId="77777777" w:rsidR="002E5290" w:rsidRPr="002E5290" w:rsidRDefault="002E5290" w:rsidP="002E5290">
            <w:pPr>
              <w:spacing w:after="0" w:line="240" w:lineRule="auto"/>
              <w:rPr>
                <w:rFonts w:ascii="Arial" w:eastAsia="Times New Roman" w:hAnsi="Arial" w:cs="Arial"/>
                <w:b/>
                <w:bCs/>
                <w:color w:val="FFFFFF"/>
                <w:kern w:val="0"/>
                <w:sz w:val="24"/>
                <w:szCs w:val="24"/>
                <w:lang w:eastAsia="es-MX"/>
                <w14:ligatures w14:val="none"/>
              </w:rPr>
            </w:pPr>
          </w:p>
        </w:tc>
        <w:tc>
          <w:tcPr>
            <w:tcW w:w="135" w:type="dxa"/>
            <w:tcBorders>
              <w:top w:val="nil"/>
              <w:left w:val="nil"/>
              <w:bottom w:val="nil"/>
              <w:right w:val="nil"/>
            </w:tcBorders>
            <w:noWrap/>
            <w:vAlign w:val="bottom"/>
            <w:hideMark/>
          </w:tcPr>
          <w:p w14:paraId="16C1415D" w14:textId="77777777" w:rsidR="002E5290" w:rsidRPr="002E5290" w:rsidRDefault="002E5290" w:rsidP="002E5290">
            <w:pPr>
              <w:spacing w:after="0" w:line="240" w:lineRule="auto"/>
              <w:jc w:val="center"/>
              <w:rPr>
                <w:rFonts w:ascii="Arial" w:eastAsia="Times New Roman" w:hAnsi="Arial" w:cs="Arial"/>
                <w:b/>
                <w:bCs/>
                <w:color w:val="FFFFFF"/>
                <w:kern w:val="0"/>
                <w:sz w:val="24"/>
                <w:szCs w:val="24"/>
                <w:lang w:eastAsia="es-MX"/>
                <w14:ligatures w14:val="none"/>
              </w:rPr>
            </w:pPr>
          </w:p>
        </w:tc>
      </w:tr>
      <w:tr w:rsidR="002E5290" w:rsidRPr="002E5290" w14:paraId="3EEB7314" w14:textId="77777777" w:rsidTr="00150443">
        <w:trPr>
          <w:trHeight w:val="183"/>
        </w:trPr>
        <w:tc>
          <w:tcPr>
            <w:tcW w:w="1976" w:type="dxa"/>
            <w:vMerge w:val="restart"/>
            <w:tcBorders>
              <w:top w:val="single" w:sz="4" w:space="0" w:color="auto"/>
              <w:left w:val="single" w:sz="4" w:space="0" w:color="auto"/>
              <w:bottom w:val="single" w:sz="4" w:space="0" w:color="auto"/>
              <w:right w:val="single" w:sz="4" w:space="0" w:color="auto"/>
            </w:tcBorders>
            <w:shd w:val="clear" w:color="000000" w:fill="DDC9A3"/>
            <w:noWrap/>
            <w:vAlign w:val="center"/>
            <w:hideMark/>
          </w:tcPr>
          <w:p w14:paraId="75B70D95" w14:textId="77777777" w:rsidR="002E5290" w:rsidRPr="002E5290" w:rsidRDefault="002E5290" w:rsidP="002E5290">
            <w:pPr>
              <w:spacing w:after="0" w:line="240" w:lineRule="auto"/>
              <w:jc w:val="center"/>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CONCEPTO</w:t>
            </w:r>
          </w:p>
        </w:tc>
        <w:tc>
          <w:tcPr>
            <w:tcW w:w="1451" w:type="dxa"/>
            <w:tcBorders>
              <w:top w:val="nil"/>
              <w:left w:val="nil"/>
              <w:bottom w:val="nil"/>
              <w:right w:val="single" w:sz="4" w:space="0" w:color="auto"/>
            </w:tcBorders>
            <w:shd w:val="clear" w:color="000000" w:fill="DDC9A3"/>
            <w:noWrap/>
            <w:vAlign w:val="bottom"/>
            <w:hideMark/>
          </w:tcPr>
          <w:p w14:paraId="0A90F73B" w14:textId="77777777" w:rsidR="002E5290" w:rsidRPr="002E5290" w:rsidRDefault="002E5290" w:rsidP="002E5290">
            <w:pPr>
              <w:spacing w:after="0" w:line="240" w:lineRule="auto"/>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 </w:t>
            </w:r>
          </w:p>
        </w:tc>
        <w:tc>
          <w:tcPr>
            <w:tcW w:w="1584" w:type="dxa"/>
            <w:tcBorders>
              <w:top w:val="single" w:sz="4" w:space="0" w:color="auto"/>
              <w:left w:val="nil"/>
              <w:bottom w:val="nil"/>
              <w:right w:val="nil"/>
            </w:tcBorders>
            <w:shd w:val="clear" w:color="000000" w:fill="DDC9A3"/>
            <w:noWrap/>
            <w:vAlign w:val="bottom"/>
            <w:hideMark/>
          </w:tcPr>
          <w:p w14:paraId="76694DB3" w14:textId="77777777" w:rsidR="002E5290" w:rsidRPr="002E5290" w:rsidRDefault="002E5290" w:rsidP="002E5290">
            <w:pPr>
              <w:spacing w:after="0" w:line="240" w:lineRule="auto"/>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 </w:t>
            </w:r>
          </w:p>
        </w:tc>
        <w:tc>
          <w:tcPr>
            <w:tcW w:w="1451" w:type="dxa"/>
            <w:tcBorders>
              <w:top w:val="single" w:sz="4" w:space="0" w:color="auto"/>
              <w:left w:val="nil"/>
              <w:bottom w:val="nil"/>
              <w:right w:val="single" w:sz="4" w:space="0" w:color="auto"/>
            </w:tcBorders>
            <w:shd w:val="clear" w:color="000000" w:fill="DDC9A3"/>
            <w:noWrap/>
            <w:vAlign w:val="bottom"/>
            <w:hideMark/>
          </w:tcPr>
          <w:p w14:paraId="40D6BFDE" w14:textId="77777777" w:rsidR="002E5290" w:rsidRPr="002E5290" w:rsidRDefault="002E5290" w:rsidP="002E5290">
            <w:pPr>
              <w:spacing w:after="0" w:line="240" w:lineRule="auto"/>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 </w:t>
            </w:r>
          </w:p>
        </w:tc>
        <w:tc>
          <w:tcPr>
            <w:tcW w:w="2716" w:type="dxa"/>
            <w:gridSpan w:val="2"/>
            <w:tcBorders>
              <w:top w:val="single" w:sz="4" w:space="0" w:color="auto"/>
              <w:left w:val="nil"/>
              <w:bottom w:val="single" w:sz="4" w:space="0" w:color="auto"/>
              <w:right w:val="single" w:sz="4" w:space="0" w:color="auto"/>
            </w:tcBorders>
            <w:shd w:val="clear" w:color="000000" w:fill="DDC9A3"/>
            <w:noWrap/>
            <w:vAlign w:val="bottom"/>
            <w:hideMark/>
          </w:tcPr>
          <w:p w14:paraId="098B7A99" w14:textId="77777777" w:rsidR="002E5290" w:rsidRPr="002E5290" w:rsidRDefault="002E5290" w:rsidP="002E5290">
            <w:pPr>
              <w:spacing w:after="0" w:line="240" w:lineRule="auto"/>
              <w:jc w:val="center"/>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VARIACIONES RESPECTO A:</w:t>
            </w:r>
          </w:p>
        </w:tc>
        <w:tc>
          <w:tcPr>
            <w:tcW w:w="135" w:type="dxa"/>
            <w:vAlign w:val="center"/>
            <w:hideMark/>
          </w:tcPr>
          <w:p w14:paraId="46EAF5FB" w14:textId="77777777" w:rsidR="002E5290" w:rsidRPr="002E5290" w:rsidRDefault="002E5290" w:rsidP="002E5290">
            <w:pPr>
              <w:spacing w:after="0" w:line="240" w:lineRule="auto"/>
              <w:rPr>
                <w:rFonts w:ascii="Times New Roman" w:eastAsia="Times New Roman" w:hAnsi="Times New Roman" w:cs="Times New Roman"/>
                <w:kern w:val="0"/>
                <w:sz w:val="24"/>
                <w:szCs w:val="24"/>
                <w:lang w:eastAsia="es-MX"/>
                <w14:ligatures w14:val="none"/>
              </w:rPr>
            </w:pPr>
          </w:p>
        </w:tc>
      </w:tr>
      <w:tr w:rsidR="002E5290" w:rsidRPr="002E5290" w14:paraId="0A1B16A4" w14:textId="77777777" w:rsidTr="00150443">
        <w:trPr>
          <w:trHeight w:val="253"/>
        </w:trPr>
        <w:tc>
          <w:tcPr>
            <w:tcW w:w="1976" w:type="dxa"/>
            <w:vMerge/>
            <w:tcBorders>
              <w:top w:val="single" w:sz="4" w:space="0" w:color="auto"/>
              <w:left w:val="single" w:sz="4" w:space="0" w:color="auto"/>
              <w:bottom w:val="single" w:sz="4" w:space="0" w:color="auto"/>
              <w:right w:val="single" w:sz="4" w:space="0" w:color="auto"/>
            </w:tcBorders>
            <w:vAlign w:val="center"/>
            <w:hideMark/>
          </w:tcPr>
          <w:p w14:paraId="69AA9863" w14:textId="77777777" w:rsidR="002E5290" w:rsidRPr="002E5290" w:rsidRDefault="002E5290" w:rsidP="002E5290">
            <w:pPr>
              <w:spacing w:after="0" w:line="240" w:lineRule="auto"/>
              <w:rPr>
                <w:rFonts w:ascii="Arial" w:eastAsia="Times New Roman" w:hAnsi="Arial" w:cs="Arial"/>
                <w:b/>
                <w:bCs/>
                <w:kern w:val="0"/>
                <w:sz w:val="18"/>
                <w:szCs w:val="18"/>
                <w:lang w:eastAsia="es-MX"/>
                <w14:ligatures w14:val="none"/>
              </w:rPr>
            </w:pPr>
          </w:p>
        </w:tc>
        <w:tc>
          <w:tcPr>
            <w:tcW w:w="1451" w:type="dxa"/>
            <w:tcBorders>
              <w:top w:val="nil"/>
              <w:left w:val="nil"/>
              <w:bottom w:val="single" w:sz="4" w:space="0" w:color="auto"/>
              <w:right w:val="single" w:sz="4" w:space="0" w:color="auto"/>
            </w:tcBorders>
            <w:shd w:val="clear" w:color="000000" w:fill="DDC9A3"/>
            <w:noWrap/>
            <w:vAlign w:val="bottom"/>
            <w:hideMark/>
          </w:tcPr>
          <w:p w14:paraId="50A4EACD" w14:textId="77777777" w:rsidR="002E5290" w:rsidRPr="002E5290" w:rsidRDefault="002E5290" w:rsidP="002E5290">
            <w:pPr>
              <w:spacing w:after="0" w:line="240" w:lineRule="auto"/>
              <w:jc w:val="center"/>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2026</w:t>
            </w:r>
          </w:p>
        </w:tc>
        <w:tc>
          <w:tcPr>
            <w:tcW w:w="3035" w:type="dxa"/>
            <w:gridSpan w:val="2"/>
            <w:tcBorders>
              <w:top w:val="nil"/>
              <w:left w:val="nil"/>
              <w:bottom w:val="single" w:sz="4" w:space="0" w:color="auto"/>
              <w:right w:val="single" w:sz="4" w:space="0" w:color="000000"/>
            </w:tcBorders>
            <w:shd w:val="clear" w:color="000000" w:fill="DDC9A3"/>
            <w:noWrap/>
            <w:vAlign w:val="bottom"/>
            <w:hideMark/>
          </w:tcPr>
          <w:p w14:paraId="61D09655" w14:textId="77777777" w:rsidR="002E5290" w:rsidRPr="002E5290" w:rsidRDefault="002E5290" w:rsidP="002E5290">
            <w:pPr>
              <w:spacing w:after="0" w:line="240" w:lineRule="auto"/>
              <w:jc w:val="center"/>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2026</w:t>
            </w:r>
          </w:p>
        </w:tc>
        <w:tc>
          <w:tcPr>
            <w:tcW w:w="2716" w:type="dxa"/>
            <w:gridSpan w:val="2"/>
            <w:tcBorders>
              <w:top w:val="single" w:sz="4" w:space="0" w:color="auto"/>
              <w:left w:val="nil"/>
              <w:bottom w:val="single" w:sz="4" w:space="0" w:color="auto"/>
              <w:right w:val="single" w:sz="4" w:space="0" w:color="auto"/>
            </w:tcBorders>
            <w:shd w:val="clear" w:color="000000" w:fill="DDC9A3"/>
            <w:noWrap/>
            <w:vAlign w:val="bottom"/>
            <w:hideMark/>
          </w:tcPr>
          <w:p w14:paraId="1A242F3F" w14:textId="77777777" w:rsidR="002E5290" w:rsidRPr="002E5290" w:rsidRDefault="002E5290" w:rsidP="002E5290">
            <w:pPr>
              <w:spacing w:after="0" w:line="240" w:lineRule="auto"/>
              <w:jc w:val="center"/>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INGRESO ESTIMADO 2026</w:t>
            </w:r>
          </w:p>
        </w:tc>
        <w:tc>
          <w:tcPr>
            <w:tcW w:w="135" w:type="dxa"/>
            <w:vAlign w:val="center"/>
            <w:hideMark/>
          </w:tcPr>
          <w:p w14:paraId="79353ABB" w14:textId="77777777" w:rsidR="002E5290" w:rsidRPr="002E5290" w:rsidRDefault="002E5290" w:rsidP="002E5290">
            <w:pPr>
              <w:spacing w:after="0" w:line="240" w:lineRule="auto"/>
              <w:rPr>
                <w:rFonts w:ascii="Times New Roman" w:eastAsia="Times New Roman" w:hAnsi="Times New Roman" w:cs="Times New Roman"/>
                <w:kern w:val="0"/>
                <w:sz w:val="24"/>
                <w:szCs w:val="24"/>
                <w:lang w:eastAsia="es-MX"/>
                <w14:ligatures w14:val="none"/>
              </w:rPr>
            </w:pPr>
          </w:p>
        </w:tc>
      </w:tr>
      <w:tr w:rsidR="00150443" w:rsidRPr="002E5290" w14:paraId="2A6B3367" w14:textId="77777777" w:rsidTr="00150443">
        <w:trPr>
          <w:trHeight w:val="390"/>
        </w:trPr>
        <w:tc>
          <w:tcPr>
            <w:tcW w:w="1976" w:type="dxa"/>
            <w:vMerge/>
            <w:tcBorders>
              <w:top w:val="single" w:sz="4" w:space="0" w:color="auto"/>
              <w:left w:val="single" w:sz="4" w:space="0" w:color="auto"/>
              <w:bottom w:val="single" w:sz="4" w:space="0" w:color="auto"/>
              <w:right w:val="single" w:sz="4" w:space="0" w:color="auto"/>
            </w:tcBorders>
            <w:vAlign w:val="center"/>
            <w:hideMark/>
          </w:tcPr>
          <w:p w14:paraId="4C404B0C" w14:textId="77777777" w:rsidR="002E5290" w:rsidRPr="002E5290" w:rsidRDefault="002E5290" w:rsidP="002E5290">
            <w:pPr>
              <w:spacing w:after="0" w:line="240" w:lineRule="auto"/>
              <w:rPr>
                <w:rFonts w:ascii="Arial" w:eastAsia="Times New Roman" w:hAnsi="Arial" w:cs="Arial"/>
                <w:b/>
                <w:bCs/>
                <w:kern w:val="0"/>
                <w:sz w:val="18"/>
                <w:szCs w:val="18"/>
                <w:lang w:eastAsia="es-MX"/>
                <w14:ligatures w14:val="none"/>
              </w:rPr>
            </w:pPr>
          </w:p>
        </w:tc>
        <w:tc>
          <w:tcPr>
            <w:tcW w:w="1451" w:type="dxa"/>
            <w:tcBorders>
              <w:top w:val="nil"/>
              <w:left w:val="nil"/>
              <w:bottom w:val="single" w:sz="4" w:space="0" w:color="auto"/>
              <w:right w:val="single" w:sz="4" w:space="0" w:color="auto"/>
            </w:tcBorders>
            <w:shd w:val="clear" w:color="000000" w:fill="DDC9A3"/>
            <w:noWrap/>
            <w:vAlign w:val="center"/>
            <w:hideMark/>
          </w:tcPr>
          <w:p w14:paraId="598BF169" w14:textId="77777777" w:rsidR="002E5290" w:rsidRPr="002E5290" w:rsidRDefault="002E5290" w:rsidP="002E5290">
            <w:pPr>
              <w:spacing w:after="0" w:line="240" w:lineRule="auto"/>
              <w:jc w:val="center"/>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RECAUDADO</w:t>
            </w:r>
          </w:p>
        </w:tc>
        <w:tc>
          <w:tcPr>
            <w:tcW w:w="1584" w:type="dxa"/>
            <w:tcBorders>
              <w:top w:val="nil"/>
              <w:left w:val="nil"/>
              <w:bottom w:val="nil"/>
              <w:right w:val="nil"/>
            </w:tcBorders>
            <w:shd w:val="clear" w:color="000000" w:fill="DDC9A3"/>
            <w:vAlign w:val="center"/>
            <w:hideMark/>
          </w:tcPr>
          <w:p w14:paraId="68B9321E" w14:textId="77777777" w:rsidR="002E5290" w:rsidRPr="002E5290" w:rsidRDefault="002E5290" w:rsidP="002E5290">
            <w:pPr>
              <w:spacing w:after="0" w:line="240" w:lineRule="auto"/>
              <w:jc w:val="center"/>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 xml:space="preserve">ESTIMADO </w:t>
            </w:r>
          </w:p>
        </w:tc>
        <w:tc>
          <w:tcPr>
            <w:tcW w:w="1451" w:type="dxa"/>
            <w:tcBorders>
              <w:top w:val="nil"/>
              <w:left w:val="single" w:sz="4" w:space="0" w:color="auto"/>
              <w:bottom w:val="single" w:sz="4" w:space="0" w:color="auto"/>
              <w:right w:val="single" w:sz="4" w:space="0" w:color="auto"/>
            </w:tcBorders>
            <w:shd w:val="clear" w:color="000000" w:fill="DDC9A3"/>
            <w:noWrap/>
            <w:vAlign w:val="center"/>
            <w:hideMark/>
          </w:tcPr>
          <w:p w14:paraId="23C49519" w14:textId="77777777" w:rsidR="002E5290" w:rsidRPr="002E5290" w:rsidRDefault="002E5290" w:rsidP="002E5290">
            <w:pPr>
              <w:spacing w:after="0" w:line="240" w:lineRule="auto"/>
              <w:jc w:val="center"/>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RECAUDADO</w:t>
            </w:r>
          </w:p>
        </w:tc>
        <w:tc>
          <w:tcPr>
            <w:tcW w:w="1716" w:type="dxa"/>
            <w:tcBorders>
              <w:top w:val="nil"/>
              <w:left w:val="nil"/>
              <w:bottom w:val="single" w:sz="4" w:space="0" w:color="auto"/>
              <w:right w:val="single" w:sz="4" w:space="0" w:color="auto"/>
            </w:tcBorders>
            <w:shd w:val="clear" w:color="000000" w:fill="DDC9A3"/>
            <w:vAlign w:val="bottom"/>
            <w:hideMark/>
          </w:tcPr>
          <w:p w14:paraId="47989EA6" w14:textId="77777777" w:rsidR="002E5290" w:rsidRPr="002E5290" w:rsidRDefault="002E5290" w:rsidP="002E5290">
            <w:pPr>
              <w:spacing w:after="0" w:line="240" w:lineRule="auto"/>
              <w:jc w:val="center"/>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IMPORTE EXCEDENTE</w:t>
            </w:r>
          </w:p>
        </w:tc>
        <w:tc>
          <w:tcPr>
            <w:tcW w:w="1000" w:type="dxa"/>
            <w:tcBorders>
              <w:top w:val="nil"/>
              <w:left w:val="nil"/>
              <w:bottom w:val="single" w:sz="4" w:space="0" w:color="auto"/>
              <w:right w:val="single" w:sz="4" w:space="0" w:color="auto"/>
            </w:tcBorders>
            <w:shd w:val="clear" w:color="000000" w:fill="DDC9A3"/>
            <w:noWrap/>
            <w:vAlign w:val="bottom"/>
            <w:hideMark/>
          </w:tcPr>
          <w:p w14:paraId="450B137B" w14:textId="77777777" w:rsidR="002E5290" w:rsidRPr="002E5290" w:rsidRDefault="002E5290" w:rsidP="002E5290">
            <w:pPr>
              <w:spacing w:after="0" w:line="240" w:lineRule="auto"/>
              <w:jc w:val="center"/>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w:t>
            </w:r>
          </w:p>
        </w:tc>
        <w:tc>
          <w:tcPr>
            <w:tcW w:w="135" w:type="dxa"/>
            <w:vAlign w:val="center"/>
            <w:hideMark/>
          </w:tcPr>
          <w:p w14:paraId="54F732F8" w14:textId="77777777" w:rsidR="002E5290" w:rsidRPr="002E5290" w:rsidRDefault="002E5290" w:rsidP="002E5290">
            <w:pPr>
              <w:spacing w:after="0" w:line="240" w:lineRule="auto"/>
              <w:rPr>
                <w:rFonts w:ascii="Times New Roman" w:eastAsia="Times New Roman" w:hAnsi="Times New Roman" w:cs="Times New Roman"/>
                <w:kern w:val="0"/>
                <w:sz w:val="24"/>
                <w:szCs w:val="24"/>
                <w:lang w:eastAsia="es-MX"/>
                <w14:ligatures w14:val="none"/>
              </w:rPr>
            </w:pPr>
          </w:p>
        </w:tc>
      </w:tr>
      <w:tr w:rsidR="002E5290" w:rsidRPr="002E5290" w14:paraId="76955CC9" w14:textId="77777777" w:rsidTr="00150443">
        <w:trPr>
          <w:trHeight w:val="250"/>
        </w:trPr>
        <w:tc>
          <w:tcPr>
            <w:tcW w:w="1976" w:type="dxa"/>
            <w:tcBorders>
              <w:top w:val="nil"/>
              <w:left w:val="single" w:sz="4" w:space="0" w:color="auto"/>
              <w:bottom w:val="single" w:sz="4" w:space="0" w:color="auto"/>
              <w:right w:val="single" w:sz="4" w:space="0" w:color="auto"/>
            </w:tcBorders>
            <w:noWrap/>
            <w:vAlign w:val="bottom"/>
            <w:hideMark/>
          </w:tcPr>
          <w:p w14:paraId="6D9FD20E" w14:textId="77777777" w:rsidR="002E5290" w:rsidRPr="002E5290" w:rsidRDefault="002E5290" w:rsidP="002E5290">
            <w:pPr>
              <w:spacing w:after="0" w:line="240" w:lineRule="auto"/>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IMPUESTOS</w:t>
            </w:r>
          </w:p>
        </w:tc>
        <w:tc>
          <w:tcPr>
            <w:tcW w:w="1451" w:type="dxa"/>
            <w:tcBorders>
              <w:top w:val="nil"/>
              <w:left w:val="nil"/>
              <w:bottom w:val="single" w:sz="4" w:space="0" w:color="auto"/>
              <w:right w:val="single" w:sz="4" w:space="0" w:color="auto"/>
            </w:tcBorders>
            <w:noWrap/>
            <w:vAlign w:val="bottom"/>
            <w:hideMark/>
          </w:tcPr>
          <w:p w14:paraId="274A428C"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535,072,256.30</w:t>
            </w:r>
          </w:p>
        </w:tc>
        <w:tc>
          <w:tcPr>
            <w:tcW w:w="1584" w:type="dxa"/>
            <w:tcBorders>
              <w:top w:val="single" w:sz="4" w:space="0" w:color="auto"/>
              <w:left w:val="nil"/>
              <w:bottom w:val="single" w:sz="4" w:space="0" w:color="auto"/>
              <w:right w:val="single" w:sz="4" w:space="0" w:color="auto"/>
            </w:tcBorders>
            <w:noWrap/>
            <w:vAlign w:val="bottom"/>
            <w:hideMark/>
          </w:tcPr>
          <w:p w14:paraId="66E7B838"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702,054,590.52</w:t>
            </w:r>
          </w:p>
        </w:tc>
        <w:tc>
          <w:tcPr>
            <w:tcW w:w="1451" w:type="dxa"/>
            <w:tcBorders>
              <w:top w:val="nil"/>
              <w:left w:val="nil"/>
              <w:bottom w:val="single" w:sz="4" w:space="0" w:color="auto"/>
              <w:right w:val="single" w:sz="4" w:space="0" w:color="auto"/>
            </w:tcBorders>
            <w:noWrap/>
            <w:vAlign w:val="bottom"/>
            <w:hideMark/>
          </w:tcPr>
          <w:p w14:paraId="6293217F"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919,718,454.18</w:t>
            </w:r>
          </w:p>
        </w:tc>
        <w:tc>
          <w:tcPr>
            <w:tcW w:w="1716" w:type="dxa"/>
            <w:tcBorders>
              <w:top w:val="single" w:sz="4" w:space="0" w:color="auto"/>
              <w:left w:val="single" w:sz="4" w:space="0" w:color="auto"/>
              <w:bottom w:val="single" w:sz="4" w:space="0" w:color="auto"/>
              <w:right w:val="single" w:sz="4" w:space="0" w:color="auto"/>
            </w:tcBorders>
            <w:noWrap/>
            <w:vAlign w:val="bottom"/>
            <w:hideMark/>
          </w:tcPr>
          <w:p w14:paraId="4178E738" w14:textId="77777777" w:rsidR="002E5290" w:rsidRPr="002E5290" w:rsidRDefault="002E5290" w:rsidP="002E5290">
            <w:pPr>
              <w:spacing w:after="0" w:line="240" w:lineRule="auto"/>
              <w:jc w:val="right"/>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217,663,863.66</w:t>
            </w:r>
          </w:p>
        </w:tc>
        <w:tc>
          <w:tcPr>
            <w:tcW w:w="1000" w:type="dxa"/>
            <w:tcBorders>
              <w:top w:val="nil"/>
              <w:left w:val="nil"/>
              <w:bottom w:val="single" w:sz="4" w:space="0" w:color="auto"/>
              <w:right w:val="single" w:sz="4" w:space="0" w:color="auto"/>
            </w:tcBorders>
            <w:noWrap/>
            <w:vAlign w:val="bottom"/>
            <w:hideMark/>
          </w:tcPr>
          <w:p w14:paraId="564B2044"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31.00%</w:t>
            </w:r>
          </w:p>
        </w:tc>
        <w:tc>
          <w:tcPr>
            <w:tcW w:w="135" w:type="dxa"/>
            <w:vAlign w:val="center"/>
            <w:hideMark/>
          </w:tcPr>
          <w:p w14:paraId="1B21B123" w14:textId="77777777" w:rsidR="002E5290" w:rsidRPr="002E5290" w:rsidRDefault="002E5290" w:rsidP="002E5290">
            <w:pPr>
              <w:spacing w:after="0" w:line="240" w:lineRule="auto"/>
              <w:rPr>
                <w:rFonts w:ascii="Times New Roman" w:eastAsia="Times New Roman" w:hAnsi="Times New Roman" w:cs="Times New Roman"/>
                <w:kern w:val="0"/>
                <w:sz w:val="24"/>
                <w:szCs w:val="24"/>
                <w:lang w:eastAsia="es-MX"/>
                <w14:ligatures w14:val="none"/>
              </w:rPr>
            </w:pPr>
          </w:p>
        </w:tc>
      </w:tr>
      <w:tr w:rsidR="002E5290" w:rsidRPr="002E5290" w14:paraId="68AD2C89" w14:textId="77777777" w:rsidTr="00150443">
        <w:trPr>
          <w:trHeight w:val="266"/>
        </w:trPr>
        <w:tc>
          <w:tcPr>
            <w:tcW w:w="1976" w:type="dxa"/>
            <w:tcBorders>
              <w:top w:val="nil"/>
              <w:left w:val="single" w:sz="4" w:space="0" w:color="auto"/>
              <w:bottom w:val="single" w:sz="4" w:space="0" w:color="auto"/>
              <w:right w:val="single" w:sz="4" w:space="0" w:color="auto"/>
            </w:tcBorders>
            <w:noWrap/>
            <w:vAlign w:val="bottom"/>
            <w:hideMark/>
          </w:tcPr>
          <w:p w14:paraId="5B157963" w14:textId="77777777" w:rsidR="002E5290" w:rsidRPr="002E5290" w:rsidRDefault="002E5290" w:rsidP="002E5290">
            <w:pPr>
              <w:spacing w:after="0" w:line="240" w:lineRule="auto"/>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DERECHOS</w:t>
            </w:r>
          </w:p>
        </w:tc>
        <w:tc>
          <w:tcPr>
            <w:tcW w:w="1451" w:type="dxa"/>
            <w:tcBorders>
              <w:top w:val="nil"/>
              <w:left w:val="nil"/>
              <w:bottom w:val="single" w:sz="4" w:space="0" w:color="auto"/>
              <w:right w:val="single" w:sz="4" w:space="0" w:color="auto"/>
            </w:tcBorders>
            <w:noWrap/>
            <w:vAlign w:val="bottom"/>
            <w:hideMark/>
          </w:tcPr>
          <w:p w14:paraId="61DEBA3B"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127,206,568.00</w:t>
            </w:r>
          </w:p>
        </w:tc>
        <w:tc>
          <w:tcPr>
            <w:tcW w:w="1584" w:type="dxa"/>
            <w:tcBorders>
              <w:top w:val="nil"/>
              <w:left w:val="nil"/>
              <w:bottom w:val="single" w:sz="4" w:space="0" w:color="auto"/>
              <w:right w:val="single" w:sz="4" w:space="0" w:color="auto"/>
            </w:tcBorders>
            <w:noWrap/>
            <w:vAlign w:val="bottom"/>
            <w:hideMark/>
          </w:tcPr>
          <w:p w14:paraId="389B5F85"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161,710,616.72</w:t>
            </w:r>
          </w:p>
        </w:tc>
        <w:tc>
          <w:tcPr>
            <w:tcW w:w="1451" w:type="dxa"/>
            <w:tcBorders>
              <w:top w:val="nil"/>
              <w:left w:val="nil"/>
              <w:bottom w:val="single" w:sz="4" w:space="0" w:color="auto"/>
              <w:right w:val="single" w:sz="4" w:space="0" w:color="auto"/>
            </w:tcBorders>
            <w:noWrap/>
            <w:vAlign w:val="bottom"/>
            <w:hideMark/>
          </w:tcPr>
          <w:p w14:paraId="3BAC5559"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142,118,521.00</w:t>
            </w:r>
          </w:p>
        </w:tc>
        <w:tc>
          <w:tcPr>
            <w:tcW w:w="1716" w:type="dxa"/>
            <w:tcBorders>
              <w:top w:val="single" w:sz="4" w:space="0" w:color="auto"/>
              <w:left w:val="single" w:sz="4" w:space="0" w:color="auto"/>
              <w:bottom w:val="single" w:sz="4" w:space="0" w:color="auto"/>
              <w:right w:val="single" w:sz="4" w:space="0" w:color="auto"/>
            </w:tcBorders>
            <w:noWrap/>
            <w:vAlign w:val="bottom"/>
            <w:hideMark/>
          </w:tcPr>
          <w:p w14:paraId="5D52FD9D" w14:textId="77777777" w:rsidR="002E5290" w:rsidRPr="002E5290" w:rsidRDefault="002E5290" w:rsidP="002E5290">
            <w:pPr>
              <w:spacing w:after="0" w:line="240" w:lineRule="auto"/>
              <w:jc w:val="right"/>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-19,592,095.72</w:t>
            </w:r>
          </w:p>
        </w:tc>
        <w:tc>
          <w:tcPr>
            <w:tcW w:w="1000" w:type="dxa"/>
            <w:tcBorders>
              <w:top w:val="single" w:sz="4" w:space="0" w:color="auto"/>
              <w:left w:val="single" w:sz="4" w:space="0" w:color="auto"/>
              <w:bottom w:val="single" w:sz="4" w:space="0" w:color="auto"/>
              <w:right w:val="single" w:sz="4" w:space="0" w:color="auto"/>
            </w:tcBorders>
            <w:noWrap/>
            <w:vAlign w:val="bottom"/>
            <w:hideMark/>
          </w:tcPr>
          <w:p w14:paraId="53D85869" w14:textId="77777777" w:rsidR="002E5290" w:rsidRPr="002E5290" w:rsidRDefault="002E5290" w:rsidP="002E5290">
            <w:pPr>
              <w:spacing w:after="0" w:line="240" w:lineRule="auto"/>
              <w:jc w:val="right"/>
              <w:rPr>
                <w:rFonts w:ascii="Arial" w:eastAsia="Times New Roman" w:hAnsi="Arial" w:cs="Arial"/>
                <w:b/>
                <w:bCs/>
                <w:color w:val="9C0006"/>
                <w:kern w:val="0"/>
                <w:sz w:val="18"/>
                <w:szCs w:val="18"/>
                <w:lang w:eastAsia="es-MX"/>
                <w14:ligatures w14:val="none"/>
              </w:rPr>
            </w:pPr>
            <w:r w:rsidRPr="002E5290">
              <w:rPr>
                <w:rFonts w:ascii="Arial" w:eastAsia="Times New Roman" w:hAnsi="Arial" w:cs="Arial"/>
                <w:b/>
                <w:bCs/>
                <w:color w:val="9C0006"/>
                <w:kern w:val="0"/>
                <w:sz w:val="18"/>
                <w:szCs w:val="18"/>
                <w:lang w:eastAsia="es-MX"/>
                <w14:ligatures w14:val="none"/>
              </w:rPr>
              <w:t>-12.12%</w:t>
            </w:r>
          </w:p>
        </w:tc>
        <w:tc>
          <w:tcPr>
            <w:tcW w:w="135" w:type="dxa"/>
            <w:vAlign w:val="center"/>
            <w:hideMark/>
          </w:tcPr>
          <w:p w14:paraId="2DC48EF6" w14:textId="77777777" w:rsidR="002E5290" w:rsidRPr="002E5290" w:rsidRDefault="002E5290" w:rsidP="002E5290">
            <w:pPr>
              <w:spacing w:after="0" w:line="240" w:lineRule="auto"/>
              <w:rPr>
                <w:rFonts w:ascii="Times New Roman" w:eastAsia="Times New Roman" w:hAnsi="Times New Roman" w:cs="Times New Roman"/>
                <w:kern w:val="0"/>
                <w:sz w:val="24"/>
                <w:szCs w:val="24"/>
                <w:lang w:eastAsia="es-MX"/>
                <w14:ligatures w14:val="none"/>
              </w:rPr>
            </w:pPr>
          </w:p>
        </w:tc>
      </w:tr>
      <w:tr w:rsidR="002E5290" w:rsidRPr="002E5290" w14:paraId="4062AAE7" w14:textId="77777777" w:rsidTr="00150443">
        <w:trPr>
          <w:trHeight w:val="244"/>
        </w:trPr>
        <w:tc>
          <w:tcPr>
            <w:tcW w:w="1976" w:type="dxa"/>
            <w:tcBorders>
              <w:top w:val="nil"/>
              <w:left w:val="single" w:sz="4" w:space="0" w:color="auto"/>
              <w:bottom w:val="single" w:sz="4" w:space="0" w:color="auto"/>
              <w:right w:val="single" w:sz="4" w:space="0" w:color="auto"/>
            </w:tcBorders>
            <w:noWrap/>
            <w:vAlign w:val="bottom"/>
            <w:hideMark/>
          </w:tcPr>
          <w:p w14:paraId="56927450" w14:textId="77777777" w:rsidR="002E5290" w:rsidRPr="002E5290" w:rsidRDefault="002E5290" w:rsidP="002E5290">
            <w:pPr>
              <w:spacing w:after="0" w:line="240" w:lineRule="auto"/>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PRODUCTOS</w:t>
            </w:r>
          </w:p>
        </w:tc>
        <w:tc>
          <w:tcPr>
            <w:tcW w:w="1451" w:type="dxa"/>
            <w:tcBorders>
              <w:top w:val="nil"/>
              <w:left w:val="nil"/>
              <w:bottom w:val="single" w:sz="4" w:space="0" w:color="auto"/>
              <w:right w:val="single" w:sz="4" w:space="0" w:color="auto"/>
            </w:tcBorders>
            <w:noWrap/>
            <w:vAlign w:val="bottom"/>
            <w:hideMark/>
          </w:tcPr>
          <w:p w14:paraId="4B84F428"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33,215,338.28</w:t>
            </w:r>
          </w:p>
        </w:tc>
        <w:tc>
          <w:tcPr>
            <w:tcW w:w="1584" w:type="dxa"/>
            <w:tcBorders>
              <w:top w:val="nil"/>
              <w:left w:val="nil"/>
              <w:bottom w:val="single" w:sz="4" w:space="0" w:color="auto"/>
              <w:right w:val="single" w:sz="4" w:space="0" w:color="auto"/>
            </w:tcBorders>
            <w:noWrap/>
            <w:vAlign w:val="bottom"/>
            <w:hideMark/>
          </w:tcPr>
          <w:p w14:paraId="46978D3B"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7,414,544.93</w:t>
            </w:r>
          </w:p>
        </w:tc>
        <w:tc>
          <w:tcPr>
            <w:tcW w:w="1451" w:type="dxa"/>
            <w:tcBorders>
              <w:top w:val="nil"/>
              <w:left w:val="nil"/>
              <w:bottom w:val="single" w:sz="4" w:space="0" w:color="auto"/>
              <w:right w:val="single" w:sz="4" w:space="0" w:color="auto"/>
            </w:tcBorders>
            <w:noWrap/>
            <w:vAlign w:val="bottom"/>
            <w:hideMark/>
          </w:tcPr>
          <w:p w14:paraId="3F11DD16"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8,063,392.88</w:t>
            </w:r>
          </w:p>
        </w:tc>
        <w:tc>
          <w:tcPr>
            <w:tcW w:w="1716" w:type="dxa"/>
            <w:tcBorders>
              <w:top w:val="single" w:sz="4" w:space="0" w:color="auto"/>
              <w:left w:val="single" w:sz="4" w:space="0" w:color="auto"/>
              <w:bottom w:val="single" w:sz="4" w:space="0" w:color="auto"/>
              <w:right w:val="single" w:sz="4" w:space="0" w:color="auto"/>
            </w:tcBorders>
            <w:noWrap/>
            <w:vAlign w:val="bottom"/>
            <w:hideMark/>
          </w:tcPr>
          <w:p w14:paraId="2B5B67DD" w14:textId="77777777" w:rsidR="002E5290" w:rsidRPr="002E5290" w:rsidRDefault="002E5290" w:rsidP="002E5290">
            <w:pPr>
              <w:spacing w:after="0" w:line="240" w:lineRule="auto"/>
              <w:jc w:val="right"/>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648,847.95</w:t>
            </w:r>
          </w:p>
        </w:tc>
        <w:tc>
          <w:tcPr>
            <w:tcW w:w="1000" w:type="dxa"/>
            <w:tcBorders>
              <w:top w:val="nil"/>
              <w:left w:val="nil"/>
              <w:bottom w:val="single" w:sz="4" w:space="0" w:color="auto"/>
              <w:right w:val="single" w:sz="4" w:space="0" w:color="auto"/>
            </w:tcBorders>
            <w:noWrap/>
            <w:vAlign w:val="bottom"/>
            <w:hideMark/>
          </w:tcPr>
          <w:p w14:paraId="6CAC5F13"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8.75%</w:t>
            </w:r>
          </w:p>
        </w:tc>
        <w:tc>
          <w:tcPr>
            <w:tcW w:w="135" w:type="dxa"/>
            <w:vAlign w:val="center"/>
            <w:hideMark/>
          </w:tcPr>
          <w:p w14:paraId="2BC85B48" w14:textId="77777777" w:rsidR="002E5290" w:rsidRPr="002E5290" w:rsidRDefault="002E5290" w:rsidP="002E5290">
            <w:pPr>
              <w:spacing w:after="0" w:line="240" w:lineRule="auto"/>
              <w:rPr>
                <w:rFonts w:ascii="Times New Roman" w:eastAsia="Times New Roman" w:hAnsi="Times New Roman" w:cs="Times New Roman"/>
                <w:kern w:val="0"/>
                <w:sz w:val="24"/>
                <w:szCs w:val="24"/>
                <w:lang w:eastAsia="es-MX"/>
                <w14:ligatures w14:val="none"/>
              </w:rPr>
            </w:pPr>
          </w:p>
        </w:tc>
      </w:tr>
      <w:tr w:rsidR="002E5290" w:rsidRPr="002E5290" w14:paraId="079A8CA2" w14:textId="77777777" w:rsidTr="00150443">
        <w:trPr>
          <w:trHeight w:val="260"/>
        </w:trPr>
        <w:tc>
          <w:tcPr>
            <w:tcW w:w="1976" w:type="dxa"/>
            <w:tcBorders>
              <w:top w:val="nil"/>
              <w:left w:val="single" w:sz="4" w:space="0" w:color="auto"/>
              <w:bottom w:val="single" w:sz="4" w:space="0" w:color="auto"/>
              <w:right w:val="single" w:sz="4" w:space="0" w:color="auto"/>
            </w:tcBorders>
            <w:noWrap/>
            <w:vAlign w:val="bottom"/>
            <w:hideMark/>
          </w:tcPr>
          <w:p w14:paraId="24434047" w14:textId="77777777" w:rsidR="002E5290" w:rsidRPr="002E5290" w:rsidRDefault="002E5290" w:rsidP="002E5290">
            <w:pPr>
              <w:spacing w:after="0" w:line="240" w:lineRule="auto"/>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APROVECHAMIENTOS</w:t>
            </w:r>
          </w:p>
        </w:tc>
        <w:tc>
          <w:tcPr>
            <w:tcW w:w="1451" w:type="dxa"/>
            <w:tcBorders>
              <w:top w:val="nil"/>
              <w:left w:val="nil"/>
              <w:bottom w:val="single" w:sz="4" w:space="0" w:color="auto"/>
              <w:right w:val="single" w:sz="4" w:space="0" w:color="auto"/>
            </w:tcBorders>
            <w:noWrap/>
            <w:vAlign w:val="bottom"/>
            <w:hideMark/>
          </w:tcPr>
          <w:p w14:paraId="4305ADE6"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4,904,376.43</w:t>
            </w:r>
          </w:p>
        </w:tc>
        <w:tc>
          <w:tcPr>
            <w:tcW w:w="1584" w:type="dxa"/>
            <w:tcBorders>
              <w:top w:val="nil"/>
              <w:left w:val="nil"/>
              <w:bottom w:val="single" w:sz="4" w:space="0" w:color="auto"/>
              <w:right w:val="single" w:sz="4" w:space="0" w:color="auto"/>
            </w:tcBorders>
            <w:noWrap/>
            <w:vAlign w:val="bottom"/>
            <w:hideMark/>
          </w:tcPr>
          <w:p w14:paraId="4BED1CAE"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2,927,755.68</w:t>
            </w:r>
          </w:p>
        </w:tc>
        <w:tc>
          <w:tcPr>
            <w:tcW w:w="1451" w:type="dxa"/>
            <w:tcBorders>
              <w:top w:val="nil"/>
              <w:left w:val="nil"/>
              <w:bottom w:val="single" w:sz="4" w:space="0" w:color="auto"/>
              <w:right w:val="single" w:sz="4" w:space="0" w:color="auto"/>
            </w:tcBorders>
            <w:noWrap/>
            <w:vAlign w:val="bottom"/>
            <w:hideMark/>
          </w:tcPr>
          <w:p w14:paraId="62722E07"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4,762,467.00</w:t>
            </w:r>
          </w:p>
        </w:tc>
        <w:tc>
          <w:tcPr>
            <w:tcW w:w="1716" w:type="dxa"/>
            <w:tcBorders>
              <w:top w:val="single" w:sz="4" w:space="0" w:color="auto"/>
              <w:left w:val="single" w:sz="4" w:space="0" w:color="auto"/>
              <w:bottom w:val="single" w:sz="4" w:space="0" w:color="auto"/>
              <w:right w:val="single" w:sz="4" w:space="0" w:color="auto"/>
            </w:tcBorders>
            <w:noWrap/>
            <w:vAlign w:val="bottom"/>
            <w:hideMark/>
          </w:tcPr>
          <w:p w14:paraId="515CB52F" w14:textId="77777777" w:rsidR="002E5290" w:rsidRPr="002E5290" w:rsidRDefault="002E5290" w:rsidP="002E5290">
            <w:pPr>
              <w:spacing w:after="0" w:line="240" w:lineRule="auto"/>
              <w:jc w:val="right"/>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1,834,711.32</w:t>
            </w:r>
          </w:p>
        </w:tc>
        <w:tc>
          <w:tcPr>
            <w:tcW w:w="1000" w:type="dxa"/>
            <w:tcBorders>
              <w:top w:val="nil"/>
              <w:left w:val="nil"/>
              <w:bottom w:val="single" w:sz="4" w:space="0" w:color="auto"/>
              <w:right w:val="single" w:sz="4" w:space="0" w:color="auto"/>
            </w:tcBorders>
            <w:noWrap/>
            <w:vAlign w:val="bottom"/>
            <w:hideMark/>
          </w:tcPr>
          <w:p w14:paraId="6C9FA277" w14:textId="77777777" w:rsidR="002E5290" w:rsidRPr="002E5290" w:rsidRDefault="002E5290" w:rsidP="002E5290">
            <w:pPr>
              <w:spacing w:after="0" w:line="240" w:lineRule="auto"/>
              <w:jc w:val="right"/>
              <w:rPr>
                <w:rFonts w:ascii="Arial" w:eastAsia="Times New Roman" w:hAnsi="Arial" w:cs="Arial"/>
                <w:kern w:val="0"/>
                <w:sz w:val="18"/>
                <w:szCs w:val="18"/>
                <w:lang w:eastAsia="es-MX"/>
                <w14:ligatures w14:val="none"/>
              </w:rPr>
            </w:pPr>
            <w:r w:rsidRPr="002E5290">
              <w:rPr>
                <w:rFonts w:ascii="Arial" w:eastAsia="Times New Roman" w:hAnsi="Arial" w:cs="Arial"/>
                <w:kern w:val="0"/>
                <w:sz w:val="18"/>
                <w:szCs w:val="18"/>
                <w:lang w:eastAsia="es-MX"/>
                <w14:ligatures w14:val="none"/>
              </w:rPr>
              <w:t>62.67%</w:t>
            </w:r>
          </w:p>
        </w:tc>
        <w:tc>
          <w:tcPr>
            <w:tcW w:w="135" w:type="dxa"/>
            <w:vAlign w:val="center"/>
            <w:hideMark/>
          </w:tcPr>
          <w:p w14:paraId="432899A1" w14:textId="77777777" w:rsidR="002E5290" w:rsidRPr="002E5290" w:rsidRDefault="002E5290" w:rsidP="002E5290">
            <w:pPr>
              <w:spacing w:after="0" w:line="240" w:lineRule="auto"/>
              <w:rPr>
                <w:rFonts w:ascii="Times New Roman" w:eastAsia="Times New Roman" w:hAnsi="Times New Roman" w:cs="Times New Roman"/>
                <w:kern w:val="0"/>
                <w:sz w:val="24"/>
                <w:szCs w:val="24"/>
                <w:lang w:eastAsia="es-MX"/>
                <w14:ligatures w14:val="none"/>
              </w:rPr>
            </w:pPr>
          </w:p>
        </w:tc>
      </w:tr>
      <w:tr w:rsidR="002E5290" w:rsidRPr="002E5290" w14:paraId="32545767" w14:textId="77777777" w:rsidTr="00150443">
        <w:trPr>
          <w:trHeight w:val="56"/>
        </w:trPr>
        <w:tc>
          <w:tcPr>
            <w:tcW w:w="1976" w:type="dxa"/>
            <w:tcBorders>
              <w:top w:val="nil"/>
              <w:left w:val="single" w:sz="4" w:space="0" w:color="auto"/>
              <w:bottom w:val="single" w:sz="4" w:space="0" w:color="auto"/>
              <w:right w:val="single" w:sz="4" w:space="0" w:color="auto"/>
            </w:tcBorders>
            <w:noWrap/>
            <w:vAlign w:val="bottom"/>
            <w:hideMark/>
          </w:tcPr>
          <w:p w14:paraId="4F11DFD8" w14:textId="77777777" w:rsidR="002E5290" w:rsidRPr="002E5290" w:rsidRDefault="002E5290" w:rsidP="002E5290">
            <w:pPr>
              <w:spacing w:after="0" w:line="240" w:lineRule="auto"/>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Total:</w:t>
            </w:r>
          </w:p>
        </w:tc>
        <w:tc>
          <w:tcPr>
            <w:tcW w:w="1451" w:type="dxa"/>
            <w:tcBorders>
              <w:top w:val="nil"/>
              <w:left w:val="nil"/>
              <w:bottom w:val="single" w:sz="4" w:space="0" w:color="auto"/>
              <w:right w:val="single" w:sz="4" w:space="0" w:color="auto"/>
            </w:tcBorders>
            <w:noWrap/>
            <w:vAlign w:val="bottom"/>
            <w:hideMark/>
          </w:tcPr>
          <w:p w14:paraId="7BC535C2"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700,398,539.01</w:t>
            </w:r>
          </w:p>
        </w:tc>
        <w:tc>
          <w:tcPr>
            <w:tcW w:w="1584" w:type="dxa"/>
            <w:tcBorders>
              <w:top w:val="nil"/>
              <w:left w:val="nil"/>
              <w:bottom w:val="single" w:sz="4" w:space="0" w:color="auto"/>
              <w:right w:val="single" w:sz="4" w:space="0" w:color="auto"/>
            </w:tcBorders>
            <w:noWrap/>
            <w:vAlign w:val="bottom"/>
            <w:hideMark/>
          </w:tcPr>
          <w:p w14:paraId="57AC60F1"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874,107,507.85</w:t>
            </w:r>
          </w:p>
        </w:tc>
        <w:tc>
          <w:tcPr>
            <w:tcW w:w="1451" w:type="dxa"/>
            <w:tcBorders>
              <w:top w:val="nil"/>
              <w:left w:val="nil"/>
              <w:bottom w:val="single" w:sz="4" w:space="0" w:color="auto"/>
              <w:right w:val="single" w:sz="4" w:space="0" w:color="auto"/>
            </w:tcBorders>
            <w:noWrap/>
            <w:vAlign w:val="bottom"/>
            <w:hideMark/>
          </w:tcPr>
          <w:p w14:paraId="0B0FD4FF" w14:textId="77777777" w:rsidR="002E5290" w:rsidRPr="002E5290" w:rsidRDefault="002E5290" w:rsidP="002E5290">
            <w:pPr>
              <w:spacing w:after="0" w:line="240" w:lineRule="auto"/>
              <w:jc w:val="right"/>
              <w:rPr>
                <w:rFonts w:ascii="Arial" w:eastAsia="Times New Roman" w:hAnsi="Arial" w:cs="Arial"/>
                <w:color w:val="000000"/>
                <w:kern w:val="0"/>
                <w:sz w:val="18"/>
                <w:szCs w:val="18"/>
                <w:lang w:eastAsia="es-MX"/>
                <w14:ligatures w14:val="none"/>
              </w:rPr>
            </w:pPr>
            <w:r w:rsidRPr="002E5290">
              <w:rPr>
                <w:rFonts w:ascii="Arial" w:eastAsia="Times New Roman" w:hAnsi="Arial" w:cs="Arial"/>
                <w:color w:val="000000"/>
                <w:kern w:val="0"/>
                <w:sz w:val="18"/>
                <w:szCs w:val="18"/>
                <w:lang w:eastAsia="es-MX"/>
                <w14:ligatures w14:val="none"/>
              </w:rPr>
              <w:t>1,074,663,011.06</w:t>
            </w:r>
          </w:p>
        </w:tc>
        <w:tc>
          <w:tcPr>
            <w:tcW w:w="1716" w:type="dxa"/>
            <w:tcBorders>
              <w:top w:val="single" w:sz="4" w:space="0" w:color="auto"/>
              <w:left w:val="single" w:sz="4" w:space="0" w:color="auto"/>
              <w:bottom w:val="single" w:sz="4" w:space="0" w:color="auto"/>
              <w:right w:val="single" w:sz="4" w:space="0" w:color="auto"/>
            </w:tcBorders>
            <w:noWrap/>
            <w:vAlign w:val="bottom"/>
            <w:hideMark/>
          </w:tcPr>
          <w:p w14:paraId="796AED23" w14:textId="77777777" w:rsidR="002E5290" w:rsidRPr="002E5290" w:rsidRDefault="002E5290" w:rsidP="002E5290">
            <w:pPr>
              <w:spacing w:after="0" w:line="240" w:lineRule="auto"/>
              <w:jc w:val="right"/>
              <w:rPr>
                <w:rFonts w:ascii="Arial" w:eastAsia="Times New Roman" w:hAnsi="Arial" w:cs="Arial"/>
                <w:b/>
                <w:bCs/>
                <w:kern w:val="0"/>
                <w:sz w:val="18"/>
                <w:szCs w:val="18"/>
                <w:lang w:eastAsia="es-MX"/>
                <w14:ligatures w14:val="none"/>
              </w:rPr>
            </w:pPr>
            <w:r w:rsidRPr="002E5290">
              <w:rPr>
                <w:rFonts w:ascii="Arial" w:eastAsia="Times New Roman" w:hAnsi="Arial" w:cs="Arial"/>
                <w:b/>
                <w:bCs/>
                <w:kern w:val="0"/>
                <w:sz w:val="18"/>
                <w:szCs w:val="18"/>
                <w:lang w:eastAsia="es-MX"/>
                <w14:ligatures w14:val="none"/>
              </w:rPr>
              <w:t>200,555,503.21</w:t>
            </w:r>
          </w:p>
        </w:tc>
        <w:tc>
          <w:tcPr>
            <w:tcW w:w="1000" w:type="dxa"/>
            <w:tcBorders>
              <w:top w:val="nil"/>
              <w:left w:val="nil"/>
              <w:bottom w:val="single" w:sz="4" w:space="0" w:color="auto"/>
              <w:right w:val="single" w:sz="4" w:space="0" w:color="auto"/>
            </w:tcBorders>
            <w:noWrap/>
            <w:vAlign w:val="bottom"/>
            <w:hideMark/>
          </w:tcPr>
          <w:p w14:paraId="161841E4" w14:textId="77777777" w:rsidR="002E5290" w:rsidRPr="002E5290" w:rsidRDefault="002E5290" w:rsidP="002E5290">
            <w:pPr>
              <w:spacing w:after="0" w:line="240" w:lineRule="auto"/>
              <w:jc w:val="right"/>
              <w:rPr>
                <w:rFonts w:ascii="Arial" w:eastAsia="Times New Roman" w:hAnsi="Arial" w:cs="Arial"/>
                <w:kern w:val="0"/>
                <w:sz w:val="18"/>
                <w:szCs w:val="18"/>
                <w:lang w:eastAsia="es-MX"/>
                <w14:ligatures w14:val="none"/>
              </w:rPr>
            </w:pPr>
            <w:r w:rsidRPr="002E5290">
              <w:rPr>
                <w:rFonts w:ascii="Arial" w:eastAsia="Times New Roman" w:hAnsi="Arial" w:cs="Arial"/>
                <w:kern w:val="0"/>
                <w:sz w:val="18"/>
                <w:szCs w:val="18"/>
                <w:lang w:eastAsia="es-MX"/>
                <w14:ligatures w14:val="none"/>
              </w:rPr>
              <w:t>22.94%</w:t>
            </w:r>
          </w:p>
        </w:tc>
        <w:tc>
          <w:tcPr>
            <w:tcW w:w="135" w:type="dxa"/>
            <w:vAlign w:val="center"/>
            <w:hideMark/>
          </w:tcPr>
          <w:p w14:paraId="3BA48A24" w14:textId="77777777" w:rsidR="002E5290" w:rsidRPr="002E5290" w:rsidRDefault="002E5290" w:rsidP="002E5290">
            <w:pPr>
              <w:spacing w:after="0" w:line="240" w:lineRule="auto"/>
              <w:rPr>
                <w:rFonts w:ascii="Times New Roman" w:eastAsia="Times New Roman" w:hAnsi="Times New Roman" w:cs="Times New Roman"/>
                <w:kern w:val="0"/>
                <w:sz w:val="24"/>
                <w:szCs w:val="24"/>
                <w:lang w:eastAsia="es-MX"/>
                <w14:ligatures w14:val="none"/>
              </w:rPr>
            </w:pPr>
          </w:p>
        </w:tc>
      </w:tr>
    </w:tbl>
    <w:p w14:paraId="6CE0AB0F" w14:textId="5A1DE227" w:rsidR="002E5290" w:rsidRDefault="002E5290" w:rsidP="00084A68">
      <w:r w:rsidRPr="002E5290">
        <w:rPr>
          <w:rFonts w:ascii="Arial" w:eastAsia="Times New Roman" w:hAnsi="Arial" w:cs="Arial"/>
          <w:b/>
          <w:i/>
          <w:iCs/>
          <w:noProof/>
          <w:color w:val="595959"/>
          <w:kern w:val="0"/>
          <w:sz w:val="18"/>
          <w:szCs w:val="26"/>
          <w14:ligatures w14:val="none"/>
        </w:rPr>
        <mc:AlternateContent>
          <mc:Choice Requires="wps">
            <w:drawing>
              <wp:anchor distT="0" distB="0" distL="114300" distR="114300" simplePos="0" relativeHeight="251807744" behindDoc="1" locked="0" layoutInCell="1" allowOverlap="1" wp14:anchorId="4B817F0D" wp14:editId="4350B8B0">
                <wp:simplePos x="0" y="0"/>
                <wp:positionH relativeFrom="margin">
                  <wp:posOffset>616834</wp:posOffset>
                </wp:positionH>
                <wp:positionV relativeFrom="paragraph">
                  <wp:posOffset>1883687</wp:posOffset>
                </wp:positionV>
                <wp:extent cx="4657725" cy="476719"/>
                <wp:effectExtent l="0" t="0" r="0" b="0"/>
                <wp:wrapNone/>
                <wp:docPr id="7" name="Rectángulo 7"/>
                <wp:cNvGraphicFramePr/>
                <a:graphic xmlns:a="http://schemas.openxmlformats.org/drawingml/2006/main">
                  <a:graphicData uri="http://schemas.microsoft.com/office/word/2010/wordprocessingShape">
                    <wps:wsp>
                      <wps:cNvSpPr/>
                      <wps:spPr>
                        <a:xfrm>
                          <a:off x="0" y="0"/>
                          <a:ext cx="4657725" cy="476719"/>
                        </a:xfrm>
                        <a:prstGeom prst="rect">
                          <a:avLst/>
                        </a:prstGeom>
                        <a:noFill/>
                        <a:ln w="12700" cap="flat" cmpd="sng" algn="ctr">
                          <a:noFill/>
                          <a:prstDash val="solid"/>
                          <a:miter lim="800000"/>
                        </a:ln>
                        <a:effectLst/>
                      </wps:spPr>
                      <wps:txbx>
                        <w:txbxContent>
                          <w:p w14:paraId="7C9C9B44" w14:textId="77777777" w:rsidR="002E5290" w:rsidRPr="002E5290" w:rsidRDefault="002E5290" w:rsidP="002E5290">
                            <w:pPr>
                              <w:spacing w:after="0" w:line="240" w:lineRule="atLeast"/>
                              <w:jc w:val="center"/>
                              <w:rPr>
                                <w:rFonts w:ascii="Arial" w:hAnsi="Arial" w:cs="Arial"/>
                                <w:color w:val="000000"/>
                                <w:sz w:val="16"/>
                                <w:szCs w:val="14"/>
                              </w:rPr>
                            </w:pPr>
                            <w:r w:rsidRPr="002E5290">
                              <w:rPr>
                                <w:rFonts w:ascii="Arial" w:hAnsi="Arial" w:cs="Arial"/>
                                <w:color w:val="000000"/>
                                <w:sz w:val="16"/>
                                <w:szCs w:val="14"/>
                              </w:rPr>
                              <w:t>Fuente: Departamento de Control de Ingresos, Subsecretaría de Ingresos.</w:t>
                            </w:r>
                          </w:p>
                          <w:p w14:paraId="1EFD71D2" w14:textId="77777777" w:rsidR="002E5290" w:rsidRPr="002E5290" w:rsidRDefault="002E5290" w:rsidP="002E5290">
                            <w:pPr>
                              <w:spacing w:after="0" w:line="240" w:lineRule="atLeast"/>
                              <w:jc w:val="center"/>
                              <w:rPr>
                                <w:rFonts w:ascii="Arial" w:hAnsi="Arial" w:cs="Arial"/>
                                <w:color w:val="000000"/>
                                <w:sz w:val="16"/>
                                <w:szCs w:val="14"/>
                              </w:rPr>
                            </w:pPr>
                            <w:r w:rsidRPr="002E5290">
                              <w:rPr>
                                <w:rFonts w:ascii="Arial" w:hAnsi="Arial" w:cs="Arial"/>
                                <w:color w:val="000000"/>
                                <w:sz w:val="16"/>
                                <w:szCs w:val="14"/>
                              </w:rPr>
                              <w:t>Elaboración: Departamento de Atención al Sistema Nacional de Coordinación Fiscal.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17F0D" id="Rectángulo 7" o:spid="_x0000_s1028" style="position:absolute;margin-left:48.55pt;margin-top:148.3pt;width:366.75pt;height:37.55pt;z-index:-251508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" filled="f" stroked="f" strokeweight="1pt">
                <v:textbox>
                  <w:txbxContent>
                    <w:p w14:paraId="7C9C9B44" w14:textId="77777777" w:rsidR="002E5290" w:rsidRPr="002E5290" w:rsidRDefault="002E5290" w:rsidP="002E5290">
                      <w:pPr>
                        <w:spacing w:after="0" w:line="240" w:lineRule="atLeast"/>
                        <w:jc w:val="center"/>
                        <w:rPr>
                          <w:rFonts w:ascii="Arial" w:hAnsi="Arial" w:cs="Arial"/>
                          <w:color w:val="000000"/>
                          <w:sz w:val="16"/>
                          <w:szCs w:val="14"/>
                        </w:rPr>
                      </w:pPr>
                      <w:r w:rsidRPr="002E5290">
                        <w:rPr>
                          <w:rFonts w:ascii="Arial" w:hAnsi="Arial" w:cs="Arial"/>
                          <w:color w:val="000000"/>
                          <w:sz w:val="16"/>
                          <w:szCs w:val="14"/>
                        </w:rPr>
                        <w:t>Fuente: Departamento de Control de Ingresos, Subsecretaría de Ingresos.</w:t>
                      </w:r>
                    </w:p>
                    <w:p w14:paraId="1EFD71D2" w14:textId="77777777" w:rsidR="002E5290" w:rsidRPr="002E5290" w:rsidRDefault="002E5290" w:rsidP="002E5290">
                      <w:pPr>
                        <w:spacing w:after="0" w:line="240" w:lineRule="atLeast"/>
                        <w:jc w:val="center"/>
                        <w:rPr>
                          <w:rFonts w:ascii="Arial" w:hAnsi="Arial" w:cs="Arial"/>
                          <w:color w:val="000000"/>
                          <w:sz w:val="16"/>
                          <w:szCs w:val="14"/>
                        </w:rPr>
                      </w:pPr>
                      <w:r w:rsidRPr="002E5290">
                        <w:rPr>
                          <w:rFonts w:ascii="Arial" w:hAnsi="Arial" w:cs="Arial"/>
                          <w:color w:val="000000"/>
                          <w:sz w:val="16"/>
                          <w:szCs w:val="14"/>
                        </w:rPr>
                        <w:t>Elaboración: Departamento de Atención al Sistema Nacional de Coordinación Fiscal.</w:t>
                      </w:r>
                    </w:p>
                  </w:txbxContent>
                </v:textbox>
                <w10:wrap anchorx="margin"/>
              </v:rect>
            </w:pict>
          </mc:Fallback>
        </mc:AlternateContent>
      </w:r>
    </w:p>
    <w:p w14:paraId="62B821E3" w14:textId="0D10D73C" w:rsidR="00C32BDA" w:rsidRDefault="00C32BDA" w:rsidP="00046863">
      <w:pPr>
        <w:spacing w:after="0" w:line="360" w:lineRule="auto"/>
        <w:jc w:val="center"/>
        <w:rPr>
          <w:rFonts w:ascii="Helvetica" w:eastAsia="Calibri" w:hAnsi="Helvetica" w:cs="Times New Roman"/>
          <w:noProof/>
          <w:kern w:val="0"/>
          <w:sz w:val="24"/>
          <w:lang w:eastAsia="es-MX"/>
          <w14:ligatures w14:val="none"/>
        </w:rPr>
      </w:pPr>
      <w:bookmarkStart w:id="11" w:name="_Hlk162256627"/>
      <w:bookmarkStart w:id="12" w:name="_Hlk102647452"/>
      <w:bookmarkEnd w:id="10"/>
    </w:p>
    <w:p w14:paraId="0F595E55" w14:textId="68F48BE1" w:rsidR="00C22480" w:rsidRPr="00C22480" w:rsidRDefault="00C22480" w:rsidP="00C22480">
      <w:pPr>
        <w:spacing w:after="0" w:line="240" w:lineRule="auto"/>
        <w:ind w:firstLine="284"/>
        <w:jc w:val="center"/>
        <w:rPr>
          <w:rFonts w:ascii="Arial" w:eastAsia="Calibri" w:hAnsi="Arial" w:cs="Arial"/>
          <w:i/>
          <w:iCs/>
          <w:color w:val="595959"/>
          <w:kern w:val="0"/>
          <w:sz w:val="18"/>
          <w:szCs w:val="18"/>
          <w14:ligatures w14:val="none"/>
        </w:rPr>
      </w:pPr>
    </w:p>
    <w:bookmarkEnd w:id="11"/>
    <w:p w14:paraId="6E7651C7" w14:textId="77777777" w:rsidR="00C40B0B" w:rsidRDefault="00C40B0B" w:rsidP="00390849">
      <w:pPr>
        <w:spacing w:after="0" w:line="360" w:lineRule="auto"/>
        <w:jc w:val="both"/>
        <w:rPr>
          <w:rFonts w:ascii="Arial" w:hAnsi="Arial" w:cs="Arial"/>
          <w:noProof/>
          <w:color w:val="000000" w:themeColor="text1"/>
          <w:sz w:val="24"/>
          <w:szCs w:val="24"/>
        </w:rPr>
      </w:pPr>
    </w:p>
    <w:p w14:paraId="37E314C3" w14:textId="77777777" w:rsidR="00C40B0B" w:rsidRPr="00C40B0B" w:rsidRDefault="00C40B0B" w:rsidP="00150443">
      <w:pPr>
        <w:spacing w:after="240" w:line="360" w:lineRule="auto"/>
        <w:ind w:left="-397"/>
        <w:jc w:val="both"/>
        <w:rPr>
          <w:rFonts w:ascii="Arial" w:eastAsia="Calibri" w:hAnsi="Arial" w:cs="Arial"/>
          <w:kern w:val="0"/>
          <w:sz w:val="24"/>
          <w14:ligatures w14:val="none"/>
        </w:rPr>
      </w:pPr>
      <w:r w:rsidRPr="00C40B0B">
        <w:rPr>
          <w:rFonts w:ascii="Arial" w:eastAsia="Calibri" w:hAnsi="Arial" w:cs="Arial"/>
          <w:kern w:val="0"/>
          <w:sz w:val="24"/>
          <w14:ligatures w14:val="none"/>
        </w:rPr>
        <w:t>La siguiente gráfica presenta la distribución porcentual de los rubros que conforman los ingresos de Gestión, con base en los montos recaudados al primer trimestre de 2026. Esta representación permite identificar la participación relativa de cada concepto dentro del total acumulado del periodo, lo que fortalece el análisis comparativo y respalda la toma de decisiones estratégicas.</w:t>
      </w:r>
    </w:p>
    <w:p w14:paraId="5681946B" w14:textId="77777777" w:rsidR="00C40B0B" w:rsidRDefault="00C40B0B" w:rsidP="00390849">
      <w:pPr>
        <w:spacing w:after="0" w:line="360" w:lineRule="auto"/>
        <w:jc w:val="both"/>
        <w:rPr>
          <w:rFonts w:ascii="Arial" w:hAnsi="Arial" w:cs="Arial"/>
          <w:noProof/>
          <w:color w:val="000000" w:themeColor="text1"/>
          <w:sz w:val="24"/>
          <w:szCs w:val="24"/>
        </w:rPr>
      </w:pPr>
    </w:p>
    <w:p w14:paraId="44581611" w14:textId="77777777" w:rsidR="00C40B0B" w:rsidRDefault="00C40B0B" w:rsidP="00390849">
      <w:pPr>
        <w:spacing w:after="0" w:line="360" w:lineRule="auto"/>
        <w:jc w:val="both"/>
        <w:rPr>
          <w:rFonts w:ascii="Arial" w:hAnsi="Arial" w:cs="Arial"/>
          <w:noProof/>
          <w:color w:val="000000" w:themeColor="text1"/>
          <w:sz w:val="24"/>
          <w:szCs w:val="24"/>
        </w:rPr>
      </w:pPr>
    </w:p>
    <w:p w14:paraId="563347F9" w14:textId="77777777" w:rsidR="00C40B0B" w:rsidRDefault="00C40B0B" w:rsidP="00390849">
      <w:pPr>
        <w:spacing w:after="0" w:line="360" w:lineRule="auto"/>
        <w:jc w:val="both"/>
        <w:rPr>
          <w:rFonts w:ascii="Arial" w:hAnsi="Arial" w:cs="Arial"/>
          <w:noProof/>
          <w:color w:val="000000" w:themeColor="text1"/>
          <w:sz w:val="24"/>
          <w:szCs w:val="24"/>
        </w:rPr>
      </w:pPr>
    </w:p>
    <w:p w14:paraId="75997AF9" w14:textId="77777777" w:rsidR="00C40B0B" w:rsidRDefault="00C40B0B" w:rsidP="00390849">
      <w:pPr>
        <w:spacing w:after="0" w:line="360" w:lineRule="auto"/>
        <w:jc w:val="both"/>
        <w:rPr>
          <w:rFonts w:ascii="Arial" w:hAnsi="Arial" w:cs="Arial"/>
          <w:noProof/>
          <w:color w:val="000000" w:themeColor="text1"/>
          <w:sz w:val="24"/>
          <w:szCs w:val="24"/>
        </w:rPr>
      </w:pPr>
    </w:p>
    <w:p w14:paraId="202474E6" w14:textId="22D18569" w:rsidR="005D5870" w:rsidRDefault="00C40B0B" w:rsidP="00390849">
      <w:pPr>
        <w:spacing w:after="0" w:line="360" w:lineRule="auto"/>
        <w:jc w:val="both"/>
        <w:rPr>
          <w:rFonts w:ascii="Arial" w:hAnsi="Arial" w:cs="Arial"/>
          <w:noProof/>
          <w:color w:val="000000" w:themeColor="text1"/>
          <w:sz w:val="24"/>
          <w:szCs w:val="24"/>
        </w:rPr>
      </w:pPr>
      <w:r>
        <w:rPr>
          <w:noProof/>
        </w:rPr>
        <w:drawing>
          <wp:inline distT="0" distB="0" distL="0" distR="0" wp14:anchorId="5AF7DE5E" wp14:editId="6F8E11B4">
            <wp:extent cx="5688419" cy="3632835"/>
            <wp:effectExtent l="0" t="0" r="7620" b="5715"/>
            <wp:docPr id="9" name="Gráfico 9">
              <a:extLst xmlns:a="http://schemas.openxmlformats.org/drawingml/2006/main">
                <a:ext uri="{FF2B5EF4-FFF2-40B4-BE49-F238E27FC236}">
                  <a16:creationId xmlns:a16="http://schemas.microsoft.com/office/drawing/2014/main" id="{10F371E8-FF0F-4EFA-9880-6627CC827C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52E3D926" w14:textId="22465C02" w:rsidR="00084A68" w:rsidRDefault="00F328D9" w:rsidP="00046863">
      <w:pPr>
        <w:spacing w:after="0" w:line="360" w:lineRule="auto"/>
        <w:jc w:val="center"/>
        <w:rPr>
          <w:rFonts w:ascii="Helvetica" w:eastAsia="Calibri" w:hAnsi="Helvetica" w:cs="Times New Roman"/>
          <w:noProof/>
          <w:kern w:val="0"/>
          <w:sz w:val="16"/>
          <w:szCs w:val="14"/>
          <w14:ligatures w14:val="none"/>
        </w:rPr>
      </w:pPr>
      <w:r w:rsidRPr="005E7EB3">
        <w:rPr>
          <w:rFonts w:ascii="Arial" w:eastAsia="Times New Roman" w:hAnsi="Arial" w:cs="Arial"/>
          <w:b/>
          <w:noProof/>
          <w:kern w:val="0"/>
          <w:sz w:val="24"/>
          <w:szCs w:val="26"/>
          <w14:ligatures w14:val="none"/>
        </w:rPr>
        <mc:AlternateContent>
          <mc:Choice Requires="wps">
            <w:drawing>
              <wp:anchor distT="0" distB="0" distL="114300" distR="114300" simplePos="0" relativeHeight="251793408" behindDoc="1" locked="0" layoutInCell="1" allowOverlap="1" wp14:anchorId="067346A2" wp14:editId="00448DC6">
                <wp:simplePos x="0" y="0"/>
                <wp:positionH relativeFrom="margin">
                  <wp:align>left</wp:align>
                </wp:positionH>
                <wp:positionV relativeFrom="paragraph">
                  <wp:posOffset>57785</wp:posOffset>
                </wp:positionV>
                <wp:extent cx="4657725" cy="429260"/>
                <wp:effectExtent l="0" t="0" r="0" b="0"/>
                <wp:wrapNone/>
                <wp:docPr id="29" name="Rectángulo 29"/>
                <wp:cNvGraphicFramePr/>
                <a:graphic xmlns:a="http://schemas.openxmlformats.org/drawingml/2006/main">
                  <a:graphicData uri="http://schemas.microsoft.com/office/word/2010/wordprocessingShape">
                    <wps:wsp>
                      <wps:cNvSpPr/>
                      <wps:spPr>
                        <a:xfrm>
                          <a:off x="0" y="0"/>
                          <a:ext cx="4657725" cy="429260"/>
                        </a:xfrm>
                        <a:prstGeom prst="rect">
                          <a:avLst/>
                        </a:prstGeom>
                        <a:noFill/>
                        <a:ln w="12700" cap="flat" cmpd="sng" algn="ctr">
                          <a:noFill/>
                          <a:prstDash val="solid"/>
                          <a:miter lim="800000"/>
                        </a:ln>
                        <a:effectLst/>
                      </wps:spPr>
                      <wps:txbx>
                        <w:txbxContent>
                          <w:p w14:paraId="194CDA10" w14:textId="77777777" w:rsidR="005E7EB3" w:rsidRPr="005E7EB3" w:rsidRDefault="005E7EB3" w:rsidP="005E7EB3">
                            <w:pPr>
                              <w:spacing w:after="0" w:line="240" w:lineRule="atLeast"/>
                              <w:jc w:val="center"/>
                              <w:rPr>
                                <w:rFonts w:ascii="Arial" w:hAnsi="Arial" w:cs="Arial"/>
                                <w:color w:val="000000"/>
                                <w:sz w:val="16"/>
                                <w:szCs w:val="14"/>
                              </w:rPr>
                            </w:pPr>
                            <w:r w:rsidRPr="005E7EB3">
                              <w:rPr>
                                <w:rFonts w:ascii="Arial" w:hAnsi="Arial" w:cs="Arial"/>
                                <w:color w:val="000000"/>
                                <w:sz w:val="16"/>
                                <w:szCs w:val="14"/>
                              </w:rPr>
                              <w:t>Fuente: Departamento de Control de Ingresos, Subsecretaría de Ingresos.</w:t>
                            </w:r>
                          </w:p>
                          <w:p w14:paraId="345663DE" w14:textId="77777777" w:rsidR="005E7EB3" w:rsidRPr="005E7EB3" w:rsidRDefault="005E7EB3" w:rsidP="005E7EB3">
                            <w:pPr>
                              <w:spacing w:after="0" w:line="240" w:lineRule="atLeast"/>
                              <w:jc w:val="center"/>
                              <w:rPr>
                                <w:rFonts w:ascii="Arial" w:hAnsi="Arial" w:cs="Arial"/>
                                <w:color w:val="000000"/>
                                <w:sz w:val="16"/>
                                <w:szCs w:val="14"/>
                              </w:rPr>
                            </w:pPr>
                            <w:r w:rsidRPr="005E7EB3">
                              <w:rPr>
                                <w:rFonts w:ascii="Arial" w:hAnsi="Arial" w:cs="Arial"/>
                                <w:color w:val="000000"/>
                                <w:sz w:val="16"/>
                                <w:szCs w:val="14"/>
                              </w:rPr>
                              <w:t>Elaboración: Departamento de Atención al Sistema Nacional de Coordinación Fiscal.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7346A2" id="Rectángulo 29" o:spid="_x0000_s1029" style="position:absolute;left:0;text-align:left;margin-left:0;margin-top:4.55pt;width:366.75pt;height:33.8pt;z-index:-2515230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" filled="f" stroked="f" strokeweight="1pt">
                <v:textbox>
                  <w:txbxContent>
                    <w:p w14:paraId="194CDA10" w14:textId="77777777" w:rsidR="005E7EB3" w:rsidRPr="005E7EB3" w:rsidRDefault="005E7EB3" w:rsidP="005E7EB3">
                      <w:pPr>
                        <w:spacing w:after="0" w:line="240" w:lineRule="atLeast"/>
                        <w:jc w:val="center"/>
                        <w:rPr>
                          <w:rFonts w:ascii="Arial" w:hAnsi="Arial" w:cs="Arial"/>
                          <w:color w:val="000000"/>
                          <w:sz w:val="16"/>
                          <w:szCs w:val="14"/>
                        </w:rPr>
                      </w:pPr>
                      <w:r w:rsidRPr="005E7EB3">
                        <w:rPr>
                          <w:rFonts w:ascii="Arial" w:hAnsi="Arial" w:cs="Arial"/>
                          <w:color w:val="000000"/>
                          <w:sz w:val="16"/>
                          <w:szCs w:val="14"/>
                        </w:rPr>
                        <w:t>Fuente: Departamento de Control de Ingresos, Subsecretaría de Ingresos.</w:t>
                      </w:r>
                    </w:p>
                    <w:p w14:paraId="345663DE" w14:textId="77777777" w:rsidR="005E7EB3" w:rsidRPr="005E7EB3" w:rsidRDefault="005E7EB3" w:rsidP="005E7EB3">
                      <w:pPr>
                        <w:spacing w:after="0" w:line="240" w:lineRule="atLeast"/>
                        <w:jc w:val="center"/>
                        <w:rPr>
                          <w:rFonts w:ascii="Arial" w:hAnsi="Arial" w:cs="Arial"/>
                          <w:color w:val="000000"/>
                          <w:sz w:val="16"/>
                          <w:szCs w:val="14"/>
                        </w:rPr>
                      </w:pPr>
                      <w:r w:rsidRPr="005E7EB3">
                        <w:rPr>
                          <w:rFonts w:ascii="Arial" w:hAnsi="Arial" w:cs="Arial"/>
                          <w:color w:val="000000"/>
                          <w:sz w:val="16"/>
                          <w:szCs w:val="14"/>
                        </w:rPr>
                        <w:t>Elaboración: Departamento de Atención al Sistema Nacional de Coordinación Fiscal.</w:t>
                      </w:r>
                    </w:p>
                  </w:txbxContent>
                </v:textbox>
                <w10:wrap anchorx="margin"/>
              </v:rect>
            </w:pict>
          </mc:Fallback>
        </mc:AlternateContent>
      </w:r>
    </w:p>
    <w:p w14:paraId="79D1DC48" w14:textId="16930C2A" w:rsidR="00ED101F" w:rsidRDefault="00ED101F" w:rsidP="00046863">
      <w:pPr>
        <w:spacing w:after="0" w:line="360" w:lineRule="auto"/>
        <w:jc w:val="center"/>
        <w:rPr>
          <w:rFonts w:ascii="Helvetica" w:eastAsia="Calibri" w:hAnsi="Helvetica" w:cs="Times New Roman"/>
          <w:noProof/>
          <w:kern w:val="0"/>
          <w:sz w:val="16"/>
          <w:szCs w:val="14"/>
          <w14:ligatures w14:val="none"/>
        </w:rPr>
      </w:pPr>
    </w:p>
    <w:p w14:paraId="063CBD35" w14:textId="1A948419" w:rsidR="005D5870" w:rsidRDefault="005D5870" w:rsidP="00046863">
      <w:pPr>
        <w:spacing w:after="0" w:line="360" w:lineRule="auto"/>
        <w:jc w:val="center"/>
        <w:rPr>
          <w:rFonts w:ascii="Helvetica" w:eastAsia="Calibri" w:hAnsi="Helvetica" w:cs="Times New Roman"/>
          <w:noProof/>
          <w:kern w:val="0"/>
          <w:sz w:val="16"/>
          <w:szCs w:val="14"/>
          <w14:ligatures w14:val="none"/>
        </w:rPr>
      </w:pPr>
    </w:p>
    <w:p w14:paraId="0C2FBC7E" w14:textId="77777777" w:rsidR="00C40B0B" w:rsidRDefault="00C40B0B" w:rsidP="00963E88">
      <w:pPr>
        <w:spacing w:after="240" w:line="360" w:lineRule="auto"/>
        <w:jc w:val="both"/>
        <w:rPr>
          <w:rFonts w:ascii="Arial" w:eastAsia="Calibri" w:hAnsi="Arial" w:cs="Arial"/>
          <w:kern w:val="0"/>
          <w:sz w:val="24"/>
          <w14:ligatures w14:val="none"/>
        </w:rPr>
      </w:pPr>
    </w:p>
    <w:p w14:paraId="2718CAAE" w14:textId="77777777" w:rsidR="00C40B0B" w:rsidRPr="00C40B0B" w:rsidRDefault="00C40B0B" w:rsidP="00150443">
      <w:pPr>
        <w:spacing w:after="240" w:line="360" w:lineRule="auto"/>
        <w:ind w:left="-397"/>
        <w:jc w:val="both"/>
        <w:rPr>
          <w:rFonts w:ascii="Arial" w:eastAsia="Calibri" w:hAnsi="Arial" w:cs="Arial"/>
          <w:kern w:val="0"/>
          <w:sz w:val="24"/>
          <w14:ligatures w14:val="none"/>
        </w:rPr>
      </w:pPr>
      <w:r w:rsidRPr="00C40B0B">
        <w:rPr>
          <w:rFonts w:ascii="Arial" w:eastAsia="Calibri" w:hAnsi="Arial" w:cs="Arial"/>
          <w:kern w:val="0"/>
          <w:sz w:val="24"/>
          <w14:ligatures w14:val="none"/>
        </w:rPr>
        <w:t xml:space="preserve">La mayor recaudación de los ingresos de gestión se observó en los </w:t>
      </w:r>
      <w:r w:rsidRPr="00C40B0B">
        <w:rPr>
          <w:rFonts w:ascii="Arial" w:eastAsia="Calibri" w:hAnsi="Arial" w:cs="Arial"/>
          <w:b/>
          <w:bCs/>
          <w:i/>
          <w:iCs/>
          <w:kern w:val="0"/>
          <w:sz w:val="24"/>
          <w14:ligatures w14:val="none"/>
        </w:rPr>
        <w:t>Impuestos</w:t>
      </w:r>
      <w:r w:rsidRPr="00C40B0B">
        <w:rPr>
          <w:rFonts w:ascii="Arial" w:eastAsia="Calibri" w:hAnsi="Arial" w:cs="Arial"/>
          <w:kern w:val="0"/>
          <w:sz w:val="24"/>
          <w14:ligatures w14:val="none"/>
        </w:rPr>
        <w:t xml:space="preserve">, los cuales representaron el 85.58% del total, mientras que los </w:t>
      </w:r>
      <w:r w:rsidRPr="00C40B0B">
        <w:rPr>
          <w:rFonts w:ascii="Arial" w:eastAsia="Calibri" w:hAnsi="Arial" w:cs="Arial"/>
          <w:b/>
          <w:bCs/>
          <w:i/>
          <w:iCs/>
          <w:kern w:val="0"/>
          <w:sz w:val="24"/>
          <w14:ligatures w14:val="none"/>
        </w:rPr>
        <w:t>Derechos</w:t>
      </w:r>
      <w:r w:rsidRPr="00C40B0B">
        <w:rPr>
          <w:rFonts w:ascii="Arial" w:eastAsia="Calibri" w:hAnsi="Arial" w:cs="Arial"/>
          <w:kern w:val="0"/>
          <w:sz w:val="24"/>
          <w14:ligatures w14:val="none"/>
        </w:rPr>
        <w:t xml:space="preserve"> por servicios que presta el Estado en funciones de derecho público, representaron el 13.22%, por su parte los </w:t>
      </w:r>
      <w:r w:rsidRPr="00C40B0B">
        <w:rPr>
          <w:rFonts w:ascii="Arial" w:eastAsia="Calibri" w:hAnsi="Arial" w:cs="Arial"/>
          <w:b/>
          <w:bCs/>
          <w:kern w:val="0"/>
          <w:sz w:val="24"/>
          <w14:ligatures w14:val="none"/>
        </w:rPr>
        <w:t>Productos</w:t>
      </w:r>
      <w:r w:rsidRPr="00C40B0B">
        <w:rPr>
          <w:rFonts w:ascii="Arial" w:eastAsia="Calibri" w:hAnsi="Arial" w:cs="Arial"/>
          <w:kern w:val="0"/>
          <w:sz w:val="24"/>
          <w14:ligatures w14:val="none"/>
        </w:rPr>
        <w:t xml:space="preserve"> el 0.75% del total de los ingresos de gestión recaudados. Y los Aprovechamientos un 0.44% del total de los ingresos de gestión recaudados.</w:t>
      </w:r>
    </w:p>
    <w:p w14:paraId="6450F7A7" w14:textId="1E5EEB38" w:rsidR="00997CC5" w:rsidRDefault="00997CC5" w:rsidP="00046863">
      <w:pPr>
        <w:spacing w:after="0" w:line="360" w:lineRule="auto"/>
        <w:jc w:val="center"/>
        <w:rPr>
          <w:noProof/>
        </w:rPr>
      </w:pPr>
    </w:p>
    <w:p w14:paraId="3A7274B9" w14:textId="1F3E3FD0" w:rsidR="00C40B0B" w:rsidRDefault="00C40B0B" w:rsidP="00046863">
      <w:pPr>
        <w:spacing w:after="0" w:line="360" w:lineRule="auto"/>
        <w:jc w:val="center"/>
        <w:rPr>
          <w:noProof/>
        </w:rPr>
      </w:pPr>
    </w:p>
    <w:p w14:paraId="3222DC0A" w14:textId="3D0AABE7" w:rsidR="00C40B0B" w:rsidRDefault="00C40B0B" w:rsidP="00046863">
      <w:pPr>
        <w:spacing w:after="0" w:line="360" w:lineRule="auto"/>
        <w:jc w:val="center"/>
        <w:rPr>
          <w:noProof/>
        </w:rPr>
      </w:pPr>
    </w:p>
    <w:p w14:paraId="5D71A0CC" w14:textId="7F2C0C65" w:rsidR="00C40B0B" w:rsidRDefault="00C40B0B" w:rsidP="00046863">
      <w:pPr>
        <w:spacing w:after="0" w:line="360" w:lineRule="auto"/>
        <w:jc w:val="center"/>
        <w:rPr>
          <w:noProof/>
        </w:rPr>
      </w:pPr>
    </w:p>
    <w:p w14:paraId="57E46E1C" w14:textId="4EA3A7F2" w:rsidR="00C40B0B" w:rsidRDefault="00C40B0B" w:rsidP="00046863">
      <w:pPr>
        <w:spacing w:after="0" w:line="360" w:lineRule="auto"/>
        <w:jc w:val="center"/>
        <w:rPr>
          <w:noProof/>
        </w:rPr>
      </w:pPr>
    </w:p>
    <w:p w14:paraId="776EBB43" w14:textId="78A4207E" w:rsidR="00C40B0B" w:rsidRDefault="00C40B0B" w:rsidP="00046863">
      <w:pPr>
        <w:spacing w:after="0" w:line="360" w:lineRule="auto"/>
        <w:jc w:val="center"/>
        <w:rPr>
          <w:noProof/>
        </w:rPr>
      </w:pPr>
    </w:p>
    <w:p w14:paraId="1D8D6FA7" w14:textId="77777777" w:rsidR="00C40B0B" w:rsidRDefault="00C40B0B" w:rsidP="00046863">
      <w:pPr>
        <w:spacing w:after="0" w:line="360" w:lineRule="auto"/>
        <w:jc w:val="center"/>
        <w:rPr>
          <w:noProof/>
        </w:rPr>
      </w:pPr>
    </w:p>
    <w:p w14:paraId="7588F316" w14:textId="620D28EF" w:rsidR="0042113A" w:rsidRDefault="005E6FC3" w:rsidP="00046863">
      <w:pPr>
        <w:pStyle w:val="Ttulo3"/>
        <w:spacing w:after="0" w:line="360" w:lineRule="auto"/>
        <w:jc w:val="both"/>
        <w:rPr>
          <w:rFonts w:ascii="Arial" w:hAnsi="Arial" w:cs="Arial"/>
          <w:b/>
          <w:bCs/>
          <w:color w:val="000000" w:themeColor="text1"/>
          <w:sz w:val="24"/>
          <w:szCs w:val="24"/>
        </w:rPr>
      </w:pPr>
      <w:bookmarkStart w:id="13" w:name="_Toc39059666"/>
      <w:bookmarkStart w:id="14" w:name="_Toc70596615"/>
      <w:bookmarkStart w:id="15" w:name="_Toc70596651"/>
      <w:bookmarkStart w:id="16" w:name="_Toc70596864"/>
      <w:bookmarkEnd w:id="12"/>
      <w:r>
        <w:rPr>
          <w:rFonts w:ascii="Arial" w:hAnsi="Arial" w:cs="Arial"/>
          <w:b/>
          <w:bCs/>
          <w:color w:val="000000" w:themeColor="text1"/>
          <w:sz w:val="24"/>
          <w:szCs w:val="24"/>
        </w:rPr>
        <w:t>I</w:t>
      </w:r>
      <w:r w:rsidR="00FF73A2" w:rsidRPr="00046863">
        <w:rPr>
          <w:rFonts w:ascii="Arial" w:hAnsi="Arial" w:cs="Arial"/>
          <w:b/>
          <w:bCs/>
          <w:color w:val="000000" w:themeColor="text1"/>
          <w:sz w:val="24"/>
          <w:szCs w:val="24"/>
        </w:rPr>
        <w:t>NGRESOS DE ORIGEN FEDERAL</w:t>
      </w:r>
      <w:bookmarkEnd w:id="13"/>
      <w:bookmarkEnd w:id="14"/>
      <w:bookmarkEnd w:id="15"/>
      <w:bookmarkEnd w:id="16"/>
    </w:p>
    <w:p w14:paraId="18119F4A" w14:textId="77777777" w:rsidR="00963E88" w:rsidRDefault="00963E88" w:rsidP="00997CC5">
      <w:pPr>
        <w:spacing w:after="0" w:line="240" w:lineRule="auto"/>
        <w:jc w:val="both"/>
        <w:rPr>
          <w:rFonts w:ascii="Arial" w:eastAsia="Calibri" w:hAnsi="Arial" w:cs="Arial"/>
          <w:kern w:val="0"/>
          <w:sz w:val="24"/>
          <w:szCs w:val="24"/>
          <w14:ligatures w14:val="none"/>
        </w:rPr>
      </w:pPr>
      <w:bookmarkStart w:id="17" w:name="_Ref39238432"/>
      <w:bookmarkStart w:id="18" w:name="_Hlk162257116"/>
    </w:p>
    <w:p w14:paraId="30590432" w14:textId="77777777" w:rsidR="00C40B0B" w:rsidRPr="00C40B0B" w:rsidRDefault="00C40B0B" w:rsidP="00150443">
      <w:pPr>
        <w:spacing w:after="0" w:line="360" w:lineRule="auto"/>
        <w:ind w:left="-397"/>
        <w:jc w:val="both"/>
        <w:rPr>
          <w:rFonts w:ascii="Arial" w:eastAsia="Calibri" w:hAnsi="Arial" w:cs="Arial"/>
          <w:kern w:val="0"/>
          <w:sz w:val="24"/>
          <w:szCs w:val="24"/>
          <w14:ligatures w14:val="none"/>
        </w:rPr>
      </w:pPr>
      <w:r w:rsidRPr="00C40B0B">
        <w:rPr>
          <w:rFonts w:ascii="Arial" w:eastAsia="Calibri" w:hAnsi="Arial" w:cs="Arial"/>
          <w:kern w:val="0"/>
          <w:sz w:val="24"/>
          <w:szCs w:val="24"/>
          <w14:ligatures w14:val="none"/>
        </w:rPr>
        <w:t xml:space="preserve">Al primer trimestre de 2026, se observó que los </w:t>
      </w:r>
      <w:r w:rsidRPr="00C40B0B">
        <w:rPr>
          <w:rFonts w:ascii="Arial" w:eastAsia="Calibri" w:hAnsi="Arial" w:cs="Arial"/>
          <w:b/>
          <w:bCs/>
          <w:kern w:val="0"/>
          <w:sz w:val="24"/>
          <w:szCs w:val="24"/>
          <w14:ligatures w14:val="none"/>
        </w:rPr>
        <w:t>recursos de origen federal</w:t>
      </w:r>
      <w:r w:rsidRPr="00C40B0B">
        <w:rPr>
          <w:rFonts w:ascii="Arial" w:eastAsia="Calibri" w:hAnsi="Arial" w:cs="Arial"/>
          <w:kern w:val="0"/>
          <w:sz w:val="24"/>
          <w:szCs w:val="24"/>
          <w14:ligatures w14:val="none"/>
        </w:rPr>
        <w:t xml:space="preserve"> ascendieron a </w:t>
      </w:r>
      <w:r w:rsidRPr="00C40B0B">
        <w:rPr>
          <w:rFonts w:ascii="Arial" w:eastAsia="Calibri" w:hAnsi="Arial" w:cs="Arial"/>
          <w:b/>
          <w:bCs/>
          <w:kern w:val="0"/>
          <w:sz w:val="24"/>
          <w:szCs w:val="24"/>
          <w14:ligatures w14:val="none"/>
        </w:rPr>
        <w:t>$</w:t>
      </w:r>
      <w:r w:rsidRPr="00C40B0B">
        <w:rPr>
          <w:rFonts w:ascii="Helvetica" w:eastAsia="Calibri" w:hAnsi="Helvetica" w:cs="Times New Roman"/>
          <w:i/>
          <w:iCs/>
          <w:color w:val="595959"/>
          <w:kern w:val="0"/>
          <w:sz w:val="18"/>
          <w:szCs w:val="18"/>
          <w14:ligatures w14:val="none"/>
        </w:rPr>
        <w:t xml:space="preserve"> </w:t>
      </w:r>
      <w:r w:rsidRPr="00C40B0B">
        <w:rPr>
          <w:rFonts w:ascii="Arial" w:eastAsia="Calibri" w:hAnsi="Arial" w:cs="Arial"/>
          <w:b/>
          <w:bCs/>
          <w:kern w:val="0"/>
          <w:sz w:val="24"/>
          <w:szCs w:val="24"/>
          <w14:ligatures w14:val="none"/>
        </w:rPr>
        <w:t xml:space="preserve">25,604,890,329.86 </w:t>
      </w:r>
      <w:r w:rsidRPr="00C40B0B">
        <w:rPr>
          <w:rFonts w:ascii="Arial" w:eastAsia="Calibri" w:hAnsi="Arial" w:cs="Arial"/>
          <w:kern w:val="0"/>
          <w:sz w:val="24"/>
          <w:szCs w:val="24"/>
          <w14:ligatures w14:val="none"/>
        </w:rPr>
        <w:t>(</w:t>
      </w:r>
      <w:r w:rsidRPr="00C40B0B">
        <w:rPr>
          <w:rFonts w:ascii="Arial" w:eastAsia="Calibri" w:hAnsi="Arial" w:cs="Arial"/>
          <w:b/>
          <w:bCs/>
          <w:kern w:val="0"/>
          <w:sz w:val="24"/>
          <w:szCs w:val="24"/>
          <w14:ligatures w14:val="none"/>
        </w:rPr>
        <w:t>Veinticinco mil seiscientos cuatro millones ochocientos noventa mil trescientos veintinueve pesos 86/100 M.N.</w:t>
      </w:r>
      <w:r w:rsidRPr="00C40B0B">
        <w:rPr>
          <w:rFonts w:ascii="Arial" w:eastAsia="Calibri" w:hAnsi="Arial" w:cs="Arial"/>
          <w:kern w:val="0"/>
          <w:sz w:val="24"/>
          <w:szCs w:val="24"/>
          <w14:ligatures w14:val="none"/>
        </w:rPr>
        <w:t xml:space="preserve">), monto que representa un </w:t>
      </w:r>
      <w:r w:rsidRPr="00C40B0B">
        <w:rPr>
          <w:rFonts w:ascii="Arial" w:eastAsia="Calibri" w:hAnsi="Arial" w:cs="Arial"/>
          <w:b/>
          <w:bCs/>
          <w:kern w:val="0"/>
          <w:sz w:val="24"/>
          <w:szCs w:val="24"/>
          <w14:ligatures w14:val="none"/>
        </w:rPr>
        <w:t>avance del 108.84%</w:t>
      </w:r>
      <w:r w:rsidRPr="00C40B0B">
        <w:rPr>
          <w:rFonts w:ascii="Arial" w:eastAsia="Calibri" w:hAnsi="Arial" w:cs="Arial"/>
          <w:kern w:val="0"/>
          <w:sz w:val="24"/>
          <w:szCs w:val="24"/>
          <w14:ligatures w14:val="none"/>
        </w:rPr>
        <w:t xml:space="preserve"> respecto a lo estimado en la </w:t>
      </w:r>
      <w:r w:rsidRPr="00C40B0B">
        <w:rPr>
          <w:rFonts w:ascii="Arial" w:eastAsia="Calibri" w:hAnsi="Arial" w:cs="Arial"/>
          <w:b/>
          <w:bCs/>
          <w:kern w:val="0"/>
          <w:sz w:val="24"/>
          <w:szCs w:val="24"/>
          <w14:ligatures w14:val="none"/>
        </w:rPr>
        <w:t>Ley de Ingresos 2026</w:t>
      </w:r>
      <w:r w:rsidRPr="00C40B0B">
        <w:rPr>
          <w:rFonts w:ascii="Arial" w:eastAsia="Calibri" w:hAnsi="Arial" w:cs="Arial"/>
          <w:kern w:val="0"/>
          <w:sz w:val="24"/>
          <w:szCs w:val="24"/>
          <w14:ligatures w14:val="none"/>
        </w:rPr>
        <w:t>.</w:t>
      </w:r>
    </w:p>
    <w:p w14:paraId="01308007" w14:textId="77777777" w:rsidR="00C40B0B" w:rsidRDefault="00C40B0B" w:rsidP="005D5870">
      <w:pPr>
        <w:spacing w:before="120" w:after="200" w:line="360" w:lineRule="auto"/>
        <w:jc w:val="both"/>
        <w:rPr>
          <w:rFonts w:ascii="Arial" w:eastAsia="Calibri" w:hAnsi="Arial" w:cs="Arial"/>
          <w:kern w:val="0"/>
          <w:sz w:val="16"/>
          <w:szCs w:val="16"/>
          <w14:ligatures w14:val="none"/>
        </w:rPr>
      </w:pPr>
    </w:p>
    <w:p w14:paraId="486F08E3" w14:textId="070A57EA" w:rsidR="00C40B0B" w:rsidRPr="00C40B0B" w:rsidRDefault="00C40B0B" w:rsidP="00C40B0B">
      <w:pPr>
        <w:spacing w:after="0" w:line="240" w:lineRule="auto"/>
        <w:ind w:firstLine="284"/>
        <w:jc w:val="center"/>
        <w:rPr>
          <w:rFonts w:ascii="Arial" w:eastAsia="Calibri" w:hAnsi="Arial" w:cs="Arial"/>
          <w:i/>
          <w:iCs/>
          <w:color w:val="595959"/>
          <w:kern w:val="0"/>
          <w:sz w:val="18"/>
          <w:szCs w:val="18"/>
          <w14:ligatures w14:val="none"/>
        </w:rPr>
      </w:pPr>
      <w:r w:rsidRPr="00C40B0B">
        <w:rPr>
          <w:rFonts w:ascii="Arial" w:eastAsia="Calibri" w:hAnsi="Arial" w:cs="Arial"/>
          <w:i/>
          <w:iCs/>
          <w:color w:val="595959"/>
          <w:kern w:val="0"/>
          <w:sz w:val="18"/>
          <w:szCs w:val="18"/>
          <w14:ligatures w14:val="none"/>
        </w:rPr>
        <w:t>Tabla 4. Ingresos Federales al 1er. trimestre de 2026</w:t>
      </w:r>
    </w:p>
    <w:tbl>
      <w:tblPr>
        <w:tblW w:w="9067" w:type="dxa"/>
        <w:tblCellMar>
          <w:left w:w="70" w:type="dxa"/>
          <w:right w:w="70" w:type="dxa"/>
        </w:tblCellMar>
        <w:tblLook w:val="04A0" w:firstRow="1" w:lastRow="0" w:firstColumn="1" w:lastColumn="0" w:noHBand="0" w:noVBand="1"/>
      </w:tblPr>
      <w:tblGrid>
        <w:gridCol w:w="4106"/>
        <w:gridCol w:w="1985"/>
        <w:gridCol w:w="1809"/>
        <w:gridCol w:w="1167"/>
      </w:tblGrid>
      <w:tr w:rsidR="00C40B0B" w:rsidRPr="00C40B0B" w14:paraId="4382781E" w14:textId="77777777" w:rsidTr="00AA60CC">
        <w:trPr>
          <w:trHeight w:val="270"/>
        </w:trPr>
        <w:tc>
          <w:tcPr>
            <w:tcW w:w="9067" w:type="dxa"/>
            <w:gridSpan w:val="4"/>
            <w:tcBorders>
              <w:top w:val="single" w:sz="4" w:space="0" w:color="auto"/>
              <w:left w:val="single" w:sz="4" w:space="0" w:color="auto"/>
              <w:bottom w:val="single" w:sz="4" w:space="0" w:color="auto"/>
              <w:right w:val="single" w:sz="4" w:space="0" w:color="auto"/>
            </w:tcBorders>
            <w:shd w:val="clear" w:color="000000" w:fill="AB0033"/>
            <w:noWrap/>
            <w:vAlign w:val="bottom"/>
            <w:hideMark/>
          </w:tcPr>
          <w:p w14:paraId="6935797C" w14:textId="77777777" w:rsidR="00C40B0B" w:rsidRPr="00C40B0B" w:rsidRDefault="00C40B0B" w:rsidP="00C40B0B">
            <w:pPr>
              <w:spacing w:after="0" w:line="240" w:lineRule="auto"/>
              <w:jc w:val="center"/>
              <w:rPr>
                <w:rFonts w:ascii="Arial" w:eastAsia="Times New Roman" w:hAnsi="Arial" w:cs="Arial"/>
                <w:b/>
                <w:bCs/>
                <w:color w:val="FFFFFF"/>
                <w:kern w:val="0"/>
                <w:sz w:val="20"/>
                <w:szCs w:val="20"/>
                <w:lang w:eastAsia="es-MX"/>
                <w14:ligatures w14:val="none"/>
              </w:rPr>
            </w:pPr>
            <w:r w:rsidRPr="00C40B0B">
              <w:rPr>
                <w:rFonts w:ascii="Arial" w:eastAsia="Times New Roman" w:hAnsi="Arial" w:cs="Arial"/>
                <w:b/>
                <w:bCs/>
                <w:color w:val="FFFFFF"/>
                <w:kern w:val="0"/>
                <w:sz w:val="20"/>
                <w:szCs w:val="20"/>
                <w:lang w:eastAsia="es-MX"/>
                <w14:ligatures w14:val="none"/>
              </w:rPr>
              <w:t>PARTICIPACIONES Y APORTACIONES FEDERALES 1er. TRIMESTRE DE 2026</w:t>
            </w:r>
          </w:p>
        </w:tc>
      </w:tr>
      <w:tr w:rsidR="00C40B0B" w:rsidRPr="00C40B0B" w14:paraId="6FD81CEF" w14:textId="77777777" w:rsidTr="00AA60CC">
        <w:trPr>
          <w:trHeight w:val="480"/>
        </w:trPr>
        <w:tc>
          <w:tcPr>
            <w:tcW w:w="4106" w:type="dxa"/>
            <w:tcBorders>
              <w:top w:val="nil"/>
              <w:left w:val="single" w:sz="4" w:space="0" w:color="auto"/>
              <w:bottom w:val="single" w:sz="4" w:space="0" w:color="auto"/>
              <w:right w:val="single" w:sz="4" w:space="0" w:color="auto"/>
            </w:tcBorders>
            <w:shd w:val="clear" w:color="000000" w:fill="BC955C"/>
            <w:vAlign w:val="center"/>
            <w:hideMark/>
          </w:tcPr>
          <w:p w14:paraId="7F46EA37" w14:textId="77777777" w:rsidR="00C40B0B" w:rsidRPr="00C40B0B" w:rsidRDefault="00C40B0B" w:rsidP="00C40B0B">
            <w:pPr>
              <w:spacing w:after="0" w:line="240" w:lineRule="auto"/>
              <w:jc w:val="center"/>
              <w:rPr>
                <w:rFonts w:ascii="Arial" w:eastAsia="Times New Roman" w:hAnsi="Arial" w:cs="Arial"/>
                <w:b/>
                <w:bCs/>
                <w:kern w:val="0"/>
                <w:sz w:val="18"/>
                <w:szCs w:val="18"/>
                <w:lang w:eastAsia="es-MX"/>
                <w14:ligatures w14:val="none"/>
              </w:rPr>
            </w:pPr>
            <w:r w:rsidRPr="00C40B0B">
              <w:rPr>
                <w:rFonts w:ascii="Arial" w:eastAsia="Times New Roman" w:hAnsi="Arial" w:cs="Arial"/>
                <w:b/>
                <w:bCs/>
                <w:kern w:val="0"/>
                <w:sz w:val="18"/>
                <w:szCs w:val="18"/>
                <w:lang w:eastAsia="es-MX"/>
                <w14:ligatures w14:val="none"/>
              </w:rPr>
              <w:t>Estado Analítico de Ingresos por Fuente de Financiamiento</w:t>
            </w:r>
          </w:p>
        </w:tc>
        <w:tc>
          <w:tcPr>
            <w:tcW w:w="1985" w:type="dxa"/>
            <w:tcBorders>
              <w:top w:val="nil"/>
              <w:left w:val="nil"/>
              <w:bottom w:val="single" w:sz="4" w:space="0" w:color="auto"/>
              <w:right w:val="single" w:sz="4" w:space="0" w:color="auto"/>
            </w:tcBorders>
            <w:shd w:val="clear" w:color="000000" w:fill="BC955C"/>
            <w:noWrap/>
            <w:vAlign w:val="center"/>
            <w:hideMark/>
          </w:tcPr>
          <w:p w14:paraId="5E943F95" w14:textId="77777777" w:rsidR="00C40B0B" w:rsidRPr="00C40B0B" w:rsidRDefault="00C40B0B" w:rsidP="00C40B0B">
            <w:pPr>
              <w:spacing w:after="0" w:line="240" w:lineRule="auto"/>
              <w:jc w:val="center"/>
              <w:rPr>
                <w:rFonts w:ascii="Arial" w:eastAsia="Times New Roman" w:hAnsi="Arial" w:cs="Arial"/>
                <w:b/>
                <w:bCs/>
                <w:kern w:val="0"/>
                <w:sz w:val="18"/>
                <w:szCs w:val="18"/>
                <w:lang w:eastAsia="es-MX"/>
                <w14:ligatures w14:val="none"/>
              </w:rPr>
            </w:pPr>
            <w:r w:rsidRPr="00C40B0B">
              <w:rPr>
                <w:rFonts w:ascii="Arial" w:eastAsia="Times New Roman" w:hAnsi="Arial" w:cs="Arial"/>
                <w:b/>
                <w:bCs/>
                <w:kern w:val="0"/>
                <w:sz w:val="18"/>
                <w:szCs w:val="18"/>
                <w:lang w:eastAsia="es-MX"/>
                <w14:ligatures w14:val="none"/>
              </w:rPr>
              <w:t>Estimado 2026</w:t>
            </w:r>
          </w:p>
        </w:tc>
        <w:tc>
          <w:tcPr>
            <w:tcW w:w="1809" w:type="dxa"/>
            <w:tcBorders>
              <w:top w:val="nil"/>
              <w:left w:val="nil"/>
              <w:bottom w:val="single" w:sz="4" w:space="0" w:color="auto"/>
              <w:right w:val="single" w:sz="4" w:space="0" w:color="auto"/>
            </w:tcBorders>
            <w:shd w:val="clear" w:color="000000" w:fill="BC955C"/>
            <w:vAlign w:val="center"/>
            <w:hideMark/>
          </w:tcPr>
          <w:p w14:paraId="78581DDA" w14:textId="77777777" w:rsidR="00C40B0B" w:rsidRPr="00C40B0B" w:rsidRDefault="00C40B0B" w:rsidP="00C40B0B">
            <w:pPr>
              <w:spacing w:after="0" w:line="240" w:lineRule="auto"/>
              <w:jc w:val="center"/>
              <w:rPr>
                <w:rFonts w:ascii="Arial" w:eastAsia="Times New Roman" w:hAnsi="Arial" w:cs="Arial"/>
                <w:b/>
                <w:bCs/>
                <w:kern w:val="0"/>
                <w:sz w:val="18"/>
                <w:szCs w:val="18"/>
                <w:lang w:eastAsia="es-MX"/>
                <w14:ligatures w14:val="none"/>
              </w:rPr>
            </w:pPr>
            <w:r w:rsidRPr="00C40B0B">
              <w:rPr>
                <w:rFonts w:ascii="Arial" w:eastAsia="Times New Roman" w:hAnsi="Arial" w:cs="Arial"/>
                <w:b/>
                <w:bCs/>
                <w:kern w:val="0"/>
                <w:sz w:val="18"/>
                <w:szCs w:val="18"/>
                <w:lang w:eastAsia="es-MX"/>
                <w14:ligatures w14:val="none"/>
              </w:rPr>
              <w:t>Recaudado al 1er trimestre de 2026</w:t>
            </w:r>
          </w:p>
        </w:tc>
        <w:tc>
          <w:tcPr>
            <w:tcW w:w="1167" w:type="dxa"/>
            <w:tcBorders>
              <w:top w:val="nil"/>
              <w:left w:val="nil"/>
              <w:bottom w:val="single" w:sz="4" w:space="0" w:color="auto"/>
              <w:right w:val="single" w:sz="4" w:space="0" w:color="auto"/>
            </w:tcBorders>
            <w:shd w:val="clear" w:color="000000" w:fill="BC955C"/>
            <w:noWrap/>
            <w:vAlign w:val="center"/>
            <w:hideMark/>
          </w:tcPr>
          <w:p w14:paraId="677E3585" w14:textId="77777777" w:rsidR="00C40B0B" w:rsidRPr="00C40B0B" w:rsidRDefault="00C40B0B" w:rsidP="00C40B0B">
            <w:pPr>
              <w:spacing w:after="0" w:line="240" w:lineRule="auto"/>
              <w:jc w:val="center"/>
              <w:rPr>
                <w:rFonts w:ascii="Arial" w:eastAsia="Times New Roman" w:hAnsi="Arial" w:cs="Arial"/>
                <w:b/>
                <w:bCs/>
                <w:kern w:val="0"/>
                <w:sz w:val="18"/>
                <w:szCs w:val="18"/>
                <w:lang w:eastAsia="es-MX"/>
                <w14:ligatures w14:val="none"/>
              </w:rPr>
            </w:pPr>
            <w:r w:rsidRPr="00C40B0B">
              <w:rPr>
                <w:rFonts w:ascii="Arial" w:eastAsia="Times New Roman" w:hAnsi="Arial" w:cs="Arial"/>
                <w:b/>
                <w:bCs/>
                <w:kern w:val="0"/>
                <w:sz w:val="18"/>
                <w:szCs w:val="18"/>
                <w:lang w:eastAsia="es-MX"/>
                <w14:ligatures w14:val="none"/>
              </w:rPr>
              <w:t>Avance %</w:t>
            </w:r>
          </w:p>
        </w:tc>
      </w:tr>
      <w:tr w:rsidR="00C40B0B" w:rsidRPr="00C40B0B" w14:paraId="20592E7C" w14:textId="77777777" w:rsidTr="00AA60CC">
        <w:trPr>
          <w:trHeight w:val="255"/>
        </w:trPr>
        <w:tc>
          <w:tcPr>
            <w:tcW w:w="4106" w:type="dxa"/>
            <w:tcBorders>
              <w:top w:val="nil"/>
              <w:left w:val="single" w:sz="4" w:space="0" w:color="auto"/>
              <w:bottom w:val="single" w:sz="4" w:space="0" w:color="auto"/>
              <w:right w:val="single" w:sz="4" w:space="0" w:color="auto"/>
            </w:tcBorders>
            <w:vAlign w:val="bottom"/>
            <w:hideMark/>
          </w:tcPr>
          <w:p w14:paraId="50DAF30F"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 xml:space="preserve">Participaciones  </w:t>
            </w:r>
          </w:p>
        </w:tc>
        <w:tc>
          <w:tcPr>
            <w:tcW w:w="1985" w:type="dxa"/>
            <w:tcBorders>
              <w:top w:val="nil"/>
              <w:left w:val="nil"/>
              <w:bottom w:val="single" w:sz="4" w:space="0" w:color="auto"/>
              <w:right w:val="single" w:sz="4" w:space="0" w:color="auto"/>
            </w:tcBorders>
            <w:noWrap/>
            <w:vAlign w:val="bottom"/>
            <w:hideMark/>
          </w:tcPr>
          <w:p w14:paraId="7AAB7890"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8,361,685,524.25</w:t>
            </w:r>
          </w:p>
        </w:tc>
        <w:tc>
          <w:tcPr>
            <w:tcW w:w="1809" w:type="dxa"/>
            <w:tcBorders>
              <w:top w:val="nil"/>
              <w:left w:val="nil"/>
              <w:bottom w:val="single" w:sz="4" w:space="0" w:color="auto"/>
              <w:right w:val="single" w:sz="4" w:space="0" w:color="auto"/>
            </w:tcBorders>
            <w:noWrap/>
            <w:vAlign w:val="bottom"/>
            <w:hideMark/>
          </w:tcPr>
          <w:p w14:paraId="1F3D1EA8"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8,642,262,549.93</w:t>
            </w:r>
          </w:p>
        </w:tc>
        <w:tc>
          <w:tcPr>
            <w:tcW w:w="1167" w:type="dxa"/>
            <w:tcBorders>
              <w:top w:val="nil"/>
              <w:left w:val="nil"/>
              <w:bottom w:val="single" w:sz="4" w:space="0" w:color="auto"/>
              <w:right w:val="single" w:sz="4" w:space="0" w:color="auto"/>
            </w:tcBorders>
            <w:noWrap/>
            <w:vAlign w:val="bottom"/>
            <w:hideMark/>
          </w:tcPr>
          <w:p w14:paraId="06CDCDB4" w14:textId="77777777" w:rsidR="00C40B0B" w:rsidRPr="00C40B0B" w:rsidRDefault="00C40B0B" w:rsidP="00C40B0B">
            <w:pPr>
              <w:spacing w:after="0" w:line="240" w:lineRule="auto"/>
              <w:jc w:val="center"/>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103.36%</w:t>
            </w:r>
          </w:p>
        </w:tc>
      </w:tr>
      <w:tr w:rsidR="00C40B0B" w:rsidRPr="00C40B0B" w14:paraId="688719C4" w14:textId="77777777" w:rsidTr="00AA60CC">
        <w:trPr>
          <w:trHeight w:val="255"/>
        </w:trPr>
        <w:tc>
          <w:tcPr>
            <w:tcW w:w="4106" w:type="dxa"/>
            <w:tcBorders>
              <w:top w:val="nil"/>
              <w:left w:val="single" w:sz="4" w:space="0" w:color="auto"/>
              <w:bottom w:val="single" w:sz="4" w:space="0" w:color="auto"/>
              <w:right w:val="single" w:sz="4" w:space="0" w:color="auto"/>
            </w:tcBorders>
            <w:vAlign w:val="bottom"/>
            <w:hideMark/>
          </w:tcPr>
          <w:p w14:paraId="18591873"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Aportaciones</w:t>
            </w:r>
          </w:p>
        </w:tc>
        <w:tc>
          <w:tcPr>
            <w:tcW w:w="1985" w:type="dxa"/>
            <w:tcBorders>
              <w:top w:val="nil"/>
              <w:left w:val="nil"/>
              <w:bottom w:val="single" w:sz="4" w:space="0" w:color="auto"/>
              <w:right w:val="single" w:sz="4" w:space="0" w:color="auto"/>
            </w:tcBorders>
            <w:noWrap/>
            <w:vAlign w:val="bottom"/>
            <w:hideMark/>
          </w:tcPr>
          <w:p w14:paraId="2D0BBF9B"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14,566,820,991.23</w:t>
            </w:r>
          </w:p>
        </w:tc>
        <w:tc>
          <w:tcPr>
            <w:tcW w:w="1809" w:type="dxa"/>
            <w:tcBorders>
              <w:top w:val="nil"/>
              <w:left w:val="nil"/>
              <w:bottom w:val="single" w:sz="4" w:space="0" w:color="auto"/>
              <w:right w:val="single" w:sz="4" w:space="0" w:color="auto"/>
            </w:tcBorders>
            <w:noWrap/>
            <w:vAlign w:val="bottom"/>
            <w:hideMark/>
          </w:tcPr>
          <w:p w14:paraId="36C27041"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15,709,836,054.32</w:t>
            </w:r>
          </w:p>
        </w:tc>
        <w:tc>
          <w:tcPr>
            <w:tcW w:w="1167" w:type="dxa"/>
            <w:tcBorders>
              <w:top w:val="nil"/>
              <w:left w:val="nil"/>
              <w:bottom w:val="single" w:sz="4" w:space="0" w:color="auto"/>
              <w:right w:val="single" w:sz="4" w:space="0" w:color="auto"/>
            </w:tcBorders>
            <w:noWrap/>
            <w:vAlign w:val="bottom"/>
            <w:hideMark/>
          </w:tcPr>
          <w:p w14:paraId="5C594A60" w14:textId="77777777" w:rsidR="00C40B0B" w:rsidRPr="00C40B0B" w:rsidRDefault="00C40B0B" w:rsidP="00C40B0B">
            <w:pPr>
              <w:spacing w:after="0" w:line="240" w:lineRule="auto"/>
              <w:jc w:val="center"/>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107.85%</w:t>
            </w:r>
          </w:p>
        </w:tc>
      </w:tr>
      <w:tr w:rsidR="00C40B0B" w:rsidRPr="00C40B0B" w14:paraId="0A0688AD" w14:textId="77777777" w:rsidTr="00AA60CC">
        <w:trPr>
          <w:trHeight w:val="255"/>
        </w:trPr>
        <w:tc>
          <w:tcPr>
            <w:tcW w:w="4106" w:type="dxa"/>
            <w:tcBorders>
              <w:top w:val="nil"/>
              <w:left w:val="single" w:sz="4" w:space="0" w:color="auto"/>
              <w:bottom w:val="single" w:sz="4" w:space="0" w:color="auto"/>
              <w:right w:val="single" w:sz="4" w:space="0" w:color="auto"/>
            </w:tcBorders>
            <w:vAlign w:val="bottom"/>
            <w:hideMark/>
          </w:tcPr>
          <w:p w14:paraId="21F46CB1"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Convenios</w:t>
            </w:r>
          </w:p>
        </w:tc>
        <w:tc>
          <w:tcPr>
            <w:tcW w:w="1985" w:type="dxa"/>
            <w:tcBorders>
              <w:top w:val="nil"/>
              <w:left w:val="nil"/>
              <w:bottom w:val="single" w:sz="4" w:space="0" w:color="auto"/>
              <w:right w:val="single" w:sz="4" w:space="0" w:color="auto"/>
            </w:tcBorders>
            <w:noWrap/>
            <w:vAlign w:val="bottom"/>
            <w:hideMark/>
          </w:tcPr>
          <w:p w14:paraId="38FA78C6"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450,689,845.33</w:t>
            </w:r>
          </w:p>
        </w:tc>
        <w:tc>
          <w:tcPr>
            <w:tcW w:w="1809" w:type="dxa"/>
            <w:tcBorders>
              <w:top w:val="nil"/>
              <w:left w:val="nil"/>
              <w:bottom w:val="single" w:sz="4" w:space="0" w:color="auto"/>
              <w:right w:val="single" w:sz="4" w:space="0" w:color="auto"/>
            </w:tcBorders>
            <w:noWrap/>
            <w:vAlign w:val="bottom"/>
            <w:hideMark/>
          </w:tcPr>
          <w:p w14:paraId="7BF81FCA"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1,252,791,725.61</w:t>
            </w:r>
          </w:p>
        </w:tc>
        <w:tc>
          <w:tcPr>
            <w:tcW w:w="1167" w:type="dxa"/>
            <w:tcBorders>
              <w:top w:val="nil"/>
              <w:left w:val="nil"/>
              <w:bottom w:val="single" w:sz="4" w:space="0" w:color="auto"/>
              <w:right w:val="single" w:sz="4" w:space="0" w:color="auto"/>
            </w:tcBorders>
            <w:noWrap/>
            <w:vAlign w:val="bottom"/>
            <w:hideMark/>
          </w:tcPr>
          <w:p w14:paraId="78E87CBE" w14:textId="77777777" w:rsidR="00C40B0B" w:rsidRPr="00C40B0B" w:rsidRDefault="00C40B0B" w:rsidP="00C40B0B">
            <w:pPr>
              <w:spacing w:after="0" w:line="240" w:lineRule="auto"/>
              <w:jc w:val="center"/>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277.97%</w:t>
            </w:r>
          </w:p>
        </w:tc>
      </w:tr>
      <w:tr w:rsidR="00C40B0B" w:rsidRPr="00C40B0B" w14:paraId="3FA8C0C4" w14:textId="77777777" w:rsidTr="00AA60CC">
        <w:trPr>
          <w:trHeight w:val="255"/>
        </w:trPr>
        <w:tc>
          <w:tcPr>
            <w:tcW w:w="4106" w:type="dxa"/>
            <w:tcBorders>
              <w:top w:val="nil"/>
              <w:left w:val="single" w:sz="4" w:space="0" w:color="auto"/>
              <w:bottom w:val="single" w:sz="4" w:space="0" w:color="auto"/>
              <w:right w:val="single" w:sz="4" w:space="0" w:color="auto"/>
            </w:tcBorders>
            <w:vAlign w:val="bottom"/>
            <w:hideMark/>
          </w:tcPr>
          <w:p w14:paraId="37B60DDE"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Otros ingresos de libre disposición</w:t>
            </w:r>
          </w:p>
        </w:tc>
        <w:tc>
          <w:tcPr>
            <w:tcW w:w="1985" w:type="dxa"/>
            <w:tcBorders>
              <w:top w:val="nil"/>
              <w:left w:val="nil"/>
              <w:bottom w:val="single" w:sz="4" w:space="0" w:color="auto"/>
              <w:right w:val="single" w:sz="4" w:space="0" w:color="auto"/>
            </w:tcBorders>
            <w:noWrap/>
            <w:vAlign w:val="bottom"/>
            <w:hideMark/>
          </w:tcPr>
          <w:p w14:paraId="5E3EE041"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0.00</w:t>
            </w:r>
          </w:p>
        </w:tc>
        <w:tc>
          <w:tcPr>
            <w:tcW w:w="1809" w:type="dxa"/>
            <w:tcBorders>
              <w:top w:val="nil"/>
              <w:left w:val="nil"/>
              <w:bottom w:val="single" w:sz="4" w:space="0" w:color="auto"/>
              <w:right w:val="single" w:sz="4" w:space="0" w:color="auto"/>
            </w:tcBorders>
            <w:noWrap/>
            <w:vAlign w:val="bottom"/>
            <w:hideMark/>
          </w:tcPr>
          <w:p w14:paraId="2D2DF8F4"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0.00</w:t>
            </w:r>
          </w:p>
        </w:tc>
        <w:tc>
          <w:tcPr>
            <w:tcW w:w="1167" w:type="dxa"/>
            <w:tcBorders>
              <w:top w:val="nil"/>
              <w:left w:val="nil"/>
              <w:bottom w:val="single" w:sz="4" w:space="0" w:color="auto"/>
              <w:right w:val="single" w:sz="4" w:space="0" w:color="auto"/>
            </w:tcBorders>
            <w:noWrap/>
            <w:vAlign w:val="bottom"/>
            <w:hideMark/>
          </w:tcPr>
          <w:p w14:paraId="57B46C3A" w14:textId="77777777" w:rsidR="00C40B0B" w:rsidRPr="00C40B0B" w:rsidRDefault="00C40B0B" w:rsidP="00C40B0B">
            <w:pPr>
              <w:spacing w:after="0" w:line="240" w:lineRule="auto"/>
              <w:jc w:val="center"/>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n/a</w:t>
            </w:r>
          </w:p>
        </w:tc>
      </w:tr>
      <w:tr w:rsidR="00C40B0B" w:rsidRPr="00C40B0B" w14:paraId="694BC862" w14:textId="77777777" w:rsidTr="00AA60CC">
        <w:trPr>
          <w:trHeight w:val="255"/>
        </w:trPr>
        <w:tc>
          <w:tcPr>
            <w:tcW w:w="4106" w:type="dxa"/>
            <w:tcBorders>
              <w:top w:val="nil"/>
              <w:left w:val="single" w:sz="4" w:space="0" w:color="auto"/>
              <w:bottom w:val="single" w:sz="4" w:space="0" w:color="auto"/>
              <w:right w:val="single" w:sz="4" w:space="0" w:color="auto"/>
            </w:tcBorders>
            <w:vAlign w:val="bottom"/>
            <w:hideMark/>
          </w:tcPr>
          <w:p w14:paraId="47F7F4EC"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Incentivos derivados de la colaboración fiscal</w:t>
            </w:r>
          </w:p>
        </w:tc>
        <w:tc>
          <w:tcPr>
            <w:tcW w:w="1985" w:type="dxa"/>
            <w:tcBorders>
              <w:top w:val="nil"/>
              <w:left w:val="nil"/>
              <w:bottom w:val="single" w:sz="4" w:space="0" w:color="auto"/>
              <w:right w:val="single" w:sz="4" w:space="0" w:color="auto"/>
            </w:tcBorders>
            <w:noWrap/>
            <w:vAlign w:val="bottom"/>
            <w:hideMark/>
          </w:tcPr>
          <w:p w14:paraId="0E7BD3C9"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146,000,011.70</w:t>
            </w:r>
          </w:p>
        </w:tc>
        <w:tc>
          <w:tcPr>
            <w:tcW w:w="1809" w:type="dxa"/>
            <w:tcBorders>
              <w:top w:val="nil"/>
              <w:left w:val="nil"/>
              <w:bottom w:val="single" w:sz="4" w:space="0" w:color="auto"/>
              <w:right w:val="single" w:sz="4" w:space="0" w:color="auto"/>
            </w:tcBorders>
            <w:noWrap/>
            <w:vAlign w:val="bottom"/>
            <w:hideMark/>
          </w:tcPr>
          <w:p w14:paraId="3F787586"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0.00</w:t>
            </w:r>
          </w:p>
        </w:tc>
        <w:tc>
          <w:tcPr>
            <w:tcW w:w="1167" w:type="dxa"/>
            <w:tcBorders>
              <w:top w:val="nil"/>
              <w:left w:val="nil"/>
              <w:bottom w:val="single" w:sz="4" w:space="0" w:color="auto"/>
              <w:right w:val="single" w:sz="4" w:space="0" w:color="auto"/>
            </w:tcBorders>
            <w:noWrap/>
            <w:vAlign w:val="bottom"/>
            <w:hideMark/>
          </w:tcPr>
          <w:p w14:paraId="0B4175AB" w14:textId="77777777" w:rsidR="00C40B0B" w:rsidRPr="00C40B0B" w:rsidRDefault="00C40B0B" w:rsidP="00C40B0B">
            <w:pPr>
              <w:spacing w:after="0" w:line="240" w:lineRule="auto"/>
              <w:jc w:val="center"/>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0.00%</w:t>
            </w:r>
          </w:p>
        </w:tc>
      </w:tr>
      <w:tr w:rsidR="00C40B0B" w:rsidRPr="00C40B0B" w14:paraId="489188E6" w14:textId="77777777" w:rsidTr="00AA60CC">
        <w:trPr>
          <w:trHeight w:val="960"/>
        </w:trPr>
        <w:tc>
          <w:tcPr>
            <w:tcW w:w="4106" w:type="dxa"/>
            <w:tcBorders>
              <w:top w:val="nil"/>
              <w:left w:val="single" w:sz="4" w:space="0" w:color="auto"/>
              <w:bottom w:val="single" w:sz="4" w:space="0" w:color="auto"/>
              <w:right w:val="single" w:sz="4" w:space="0" w:color="auto"/>
            </w:tcBorders>
            <w:vAlign w:val="bottom"/>
            <w:hideMark/>
          </w:tcPr>
          <w:p w14:paraId="1B533856"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Ingresos de los Entes Públicos de los Poderes Legislativo y Judicial de los Órganos Autónomos y del Sector Paraestatal o Paramunicipal, así como de las Empresas Productivas del Estado.</w:t>
            </w:r>
          </w:p>
        </w:tc>
        <w:tc>
          <w:tcPr>
            <w:tcW w:w="1985" w:type="dxa"/>
            <w:tcBorders>
              <w:top w:val="nil"/>
              <w:left w:val="nil"/>
              <w:bottom w:val="single" w:sz="4" w:space="0" w:color="auto"/>
              <w:right w:val="single" w:sz="4" w:space="0" w:color="auto"/>
            </w:tcBorders>
            <w:noWrap/>
            <w:vAlign w:val="bottom"/>
            <w:hideMark/>
          </w:tcPr>
          <w:p w14:paraId="62A501D3"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0.00</w:t>
            </w:r>
          </w:p>
        </w:tc>
        <w:tc>
          <w:tcPr>
            <w:tcW w:w="1809" w:type="dxa"/>
            <w:tcBorders>
              <w:top w:val="nil"/>
              <w:left w:val="nil"/>
              <w:bottom w:val="single" w:sz="4" w:space="0" w:color="auto"/>
              <w:right w:val="single" w:sz="4" w:space="0" w:color="auto"/>
            </w:tcBorders>
            <w:noWrap/>
            <w:vAlign w:val="bottom"/>
            <w:hideMark/>
          </w:tcPr>
          <w:p w14:paraId="6F43D989"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0.00</w:t>
            </w:r>
          </w:p>
        </w:tc>
        <w:tc>
          <w:tcPr>
            <w:tcW w:w="1167" w:type="dxa"/>
            <w:tcBorders>
              <w:top w:val="nil"/>
              <w:left w:val="nil"/>
              <w:bottom w:val="single" w:sz="4" w:space="0" w:color="auto"/>
              <w:right w:val="single" w:sz="4" w:space="0" w:color="auto"/>
            </w:tcBorders>
            <w:noWrap/>
            <w:vAlign w:val="bottom"/>
            <w:hideMark/>
          </w:tcPr>
          <w:p w14:paraId="18FD4D77" w14:textId="77777777" w:rsidR="00C40B0B" w:rsidRPr="00C40B0B" w:rsidRDefault="00C40B0B" w:rsidP="00C40B0B">
            <w:pPr>
              <w:spacing w:after="0" w:line="240" w:lineRule="auto"/>
              <w:jc w:val="center"/>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n/a</w:t>
            </w:r>
          </w:p>
        </w:tc>
      </w:tr>
      <w:tr w:rsidR="00C40B0B" w:rsidRPr="00C40B0B" w14:paraId="2BB10C97" w14:textId="77777777" w:rsidTr="00AA60CC">
        <w:trPr>
          <w:trHeight w:val="255"/>
        </w:trPr>
        <w:tc>
          <w:tcPr>
            <w:tcW w:w="4106" w:type="dxa"/>
            <w:tcBorders>
              <w:top w:val="nil"/>
              <w:left w:val="single" w:sz="4" w:space="0" w:color="auto"/>
              <w:bottom w:val="single" w:sz="4" w:space="0" w:color="auto"/>
              <w:right w:val="single" w:sz="4" w:space="0" w:color="auto"/>
            </w:tcBorders>
            <w:vAlign w:val="bottom"/>
            <w:hideMark/>
          </w:tcPr>
          <w:p w14:paraId="123DC203"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Ingresos derivados de financiamientos</w:t>
            </w:r>
          </w:p>
        </w:tc>
        <w:tc>
          <w:tcPr>
            <w:tcW w:w="1985" w:type="dxa"/>
            <w:tcBorders>
              <w:top w:val="nil"/>
              <w:left w:val="nil"/>
              <w:bottom w:val="single" w:sz="4" w:space="0" w:color="auto"/>
              <w:right w:val="single" w:sz="4" w:space="0" w:color="auto"/>
            </w:tcBorders>
            <w:noWrap/>
            <w:vAlign w:val="bottom"/>
            <w:hideMark/>
          </w:tcPr>
          <w:p w14:paraId="6648BA7D"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0.00</w:t>
            </w:r>
          </w:p>
        </w:tc>
        <w:tc>
          <w:tcPr>
            <w:tcW w:w="1809" w:type="dxa"/>
            <w:tcBorders>
              <w:top w:val="nil"/>
              <w:left w:val="nil"/>
              <w:bottom w:val="single" w:sz="4" w:space="0" w:color="auto"/>
              <w:right w:val="single" w:sz="4" w:space="0" w:color="auto"/>
            </w:tcBorders>
            <w:noWrap/>
            <w:vAlign w:val="bottom"/>
            <w:hideMark/>
          </w:tcPr>
          <w:p w14:paraId="0F273F9B"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0.00</w:t>
            </w:r>
          </w:p>
        </w:tc>
        <w:tc>
          <w:tcPr>
            <w:tcW w:w="1167" w:type="dxa"/>
            <w:tcBorders>
              <w:top w:val="nil"/>
              <w:left w:val="nil"/>
              <w:bottom w:val="single" w:sz="4" w:space="0" w:color="auto"/>
              <w:right w:val="single" w:sz="4" w:space="0" w:color="auto"/>
            </w:tcBorders>
            <w:noWrap/>
            <w:vAlign w:val="bottom"/>
            <w:hideMark/>
          </w:tcPr>
          <w:p w14:paraId="6FBFC9E3" w14:textId="77777777" w:rsidR="00C40B0B" w:rsidRPr="00C40B0B" w:rsidRDefault="00C40B0B" w:rsidP="00C40B0B">
            <w:pPr>
              <w:spacing w:after="0" w:line="240" w:lineRule="auto"/>
              <w:jc w:val="center"/>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n/a</w:t>
            </w:r>
          </w:p>
        </w:tc>
      </w:tr>
      <w:tr w:rsidR="00C40B0B" w:rsidRPr="00C40B0B" w14:paraId="656B5C67" w14:textId="77777777" w:rsidTr="00AA60CC">
        <w:trPr>
          <w:trHeight w:val="255"/>
        </w:trPr>
        <w:tc>
          <w:tcPr>
            <w:tcW w:w="4106" w:type="dxa"/>
            <w:tcBorders>
              <w:top w:val="nil"/>
              <w:left w:val="single" w:sz="4" w:space="0" w:color="auto"/>
              <w:bottom w:val="single" w:sz="4" w:space="0" w:color="auto"/>
              <w:right w:val="single" w:sz="4" w:space="0" w:color="auto"/>
            </w:tcBorders>
            <w:shd w:val="clear" w:color="000000" w:fill="DDC9A3"/>
            <w:noWrap/>
            <w:vAlign w:val="bottom"/>
            <w:hideMark/>
          </w:tcPr>
          <w:p w14:paraId="423CD1E6" w14:textId="743F3236" w:rsidR="00C40B0B" w:rsidRPr="00C40B0B" w:rsidRDefault="00C40B0B" w:rsidP="00C40B0B">
            <w:pPr>
              <w:spacing w:after="0" w:line="240" w:lineRule="auto"/>
              <w:rPr>
                <w:rFonts w:ascii="Arial" w:eastAsia="Times New Roman" w:hAnsi="Arial" w:cs="Arial"/>
                <w:b/>
                <w:bCs/>
                <w:kern w:val="0"/>
                <w:sz w:val="20"/>
                <w:szCs w:val="20"/>
                <w:lang w:eastAsia="es-MX"/>
                <w14:ligatures w14:val="none"/>
              </w:rPr>
            </w:pPr>
            <w:r w:rsidRPr="00C40B0B">
              <w:rPr>
                <w:rFonts w:ascii="Arial" w:eastAsia="Times New Roman" w:hAnsi="Arial" w:cs="Arial"/>
                <w:b/>
                <w:bCs/>
                <w:kern w:val="0"/>
                <w:sz w:val="20"/>
                <w:szCs w:val="20"/>
                <w:lang w:eastAsia="es-MX"/>
                <w14:ligatures w14:val="none"/>
              </w:rPr>
              <w:t>Total:</w:t>
            </w:r>
          </w:p>
        </w:tc>
        <w:tc>
          <w:tcPr>
            <w:tcW w:w="1985" w:type="dxa"/>
            <w:tcBorders>
              <w:top w:val="nil"/>
              <w:left w:val="nil"/>
              <w:bottom w:val="single" w:sz="4" w:space="0" w:color="auto"/>
              <w:right w:val="single" w:sz="4" w:space="0" w:color="auto"/>
            </w:tcBorders>
            <w:shd w:val="clear" w:color="000000" w:fill="DDC9A3"/>
            <w:noWrap/>
            <w:vAlign w:val="bottom"/>
            <w:hideMark/>
          </w:tcPr>
          <w:p w14:paraId="324D449D"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23,525,196,372.52</w:t>
            </w:r>
          </w:p>
        </w:tc>
        <w:tc>
          <w:tcPr>
            <w:tcW w:w="1809" w:type="dxa"/>
            <w:tcBorders>
              <w:top w:val="nil"/>
              <w:left w:val="nil"/>
              <w:bottom w:val="single" w:sz="4" w:space="0" w:color="auto"/>
              <w:right w:val="single" w:sz="4" w:space="0" w:color="auto"/>
            </w:tcBorders>
            <w:shd w:val="clear" w:color="000000" w:fill="DDC9A3"/>
            <w:noWrap/>
            <w:vAlign w:val="bottom"/>
            <w:hideMark/>
          </w:tcPr>
          <w:p w14:paraId="594E0FA1"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25,604,890,329.86</w:t>
            </w:r>
          </w:p>
        </w:tc>
        <w:tc>
          <w:tcPr>
            <w:tcW w:w="1167" w:type="dxa"/>
            <w:tcBorders>
              <w:top w:val="nil"/>
              <w:left w:val="nil"/>
              <w:bottom w:val="single" w:sz="4" w:space="0" w:color="auto"/>
              <w:right w:val="single" w:sz="4" w:space="0" w:color="auto"/>
            </w:tcBorders>
            <w:shd w:val="clear" w:color="000000" w:fill="DDC9A3"/>
            <w:noWrap/>
            <w:vAlign w:val="bottom"/>
            <w:hideMark/>
          </w:tcPr>
          <w:p w14:paraId="22BA701A" w14:textId="77777777" w:rsidR="00C40B0B" w:rsidRPr="00C40B0B" w:rsidRDefault="00C40B0B" w:rsidP="00C40B0B">
            <w:pPr>
              <w:spacing w:after="0" w:line="240" w:lineRule="auto"/>
              <w:jc w:val="right"/>
              <w:rPr>
                <w:rFonts w:ascii="Arial" w:eastAsia="Times New Roman" w:hAnsi="Arial" w:cs="Arial"/>
                <w:kern w:val="0"/>
                <w:sz w:val="20"/>
                <w:szCs w:val="20"/>
                <w:lang w:eastAsia="es-MX"/>
                <w14:ligatures w14:val="none"/>
              </w:rPr>
            </w:pPr>
            <w:r w:rsidRPr="00C40B0B">
              <w:rPr>
                <w:rFonts w:ascii="Arial" w:eastAsia="Times New Roman" w:hAnsi="Arial" w:cs="Arial"/>
                <w:kern w:val="0"/>
                <w:sz w:val="20"/>
                <w:szCs w:val="20"/>
                <w:lang w:eastAsia="es-MX"/>
                <w14:ligatures w14:val="none"/>
              </w:rPr>
              <w:t>108.84%</w:t>
            </w:r>
          </w:p>
        </w:tc>
      </w:tr>
    </w:tbl>
    <w:p w14:paraId="56BFB3B0" w14:textId="43518BA7" w:rsidR="00C40B0B" w:rsidRDefault="00C40B0B" w:rsidP="005D5870">
      <w:pPr>
        <w:spacing w:before="120" w:after="200" w:line="360" w:lineRule="auto"/>
        <w:jc w:val="both"/>
        <w:rPr>
          <w:rFonts w:ascii="Arial" w:eastAsia="Calibri" w:hAnsi="Arial" w:cs="Arial"/>
          <w:kern w:val="0"/>
          <w:sz w:val="16"/>
          <w:szCs w:val="16"/>
          <w14:ligatures w14:val="none"/>
        </w:rPr>
      </w:pPr>
      <w:r w:rsidRPr="00997CC5">
        <w:rPr>
          <w:rFonts w:ascii="Arial" w:eastAsia="Times New Roman" w:hAnsi="Arial" w:cs="Arial"/>
          <w:b/>
          <w:noProof/>
          <w:kern w:val="0"/>
          <w:sz w:val="24"/>
          <w:szCs w:val="26"/>
          <w14:ligatures w14:val="none"/>
        </w:rPr>
        <mc:AlternateContent>
          <mc:Choice Requires="wps">
            <w:drawing>
              <wp:anchor distT="0" distB="0" distL="114300" distR="114300" simplePos="0" relativeHeight="251795456" behindDoc="1" locked="0" layoutInCell="1" allowOverlap="1" wp14:anchorId="0DA75188" wp14:editId="36EDF6B2">
                <wp:simplePos x="0" y="0"/>
                <wp:positionH relativeFrom="margin">
                  <wp:posOffset>31898</wp:posOffset>
                </wp:positionH>
                <wp:positionV relativeFrom="paragraph">
                  <wp:posOffset>72287</wp:posOffset>
                </wp:positionV>
                <wp:extent cx="4657725" cy="413467"/>
                <wp:effectExtent l="0" t="0" r="0" b="0"/>
                <wp:wrapNone/>
                <wp:docPr id="32" name="Rectángulo 32"/>
                <wp:cNvGraphicFramePr/>
                <a:graphic xmlns:a="http://schemas.openxmlformats.org/drawingml/2006/main">
                  <a:graphicData uri="http://schemas.microsoft.com/office/word/2010/wordprocessingShape">
                    <wps:wsp>
                      <wps:cNvSpPr/>
                      <wps:spPr>
                        <a:xfrm>
                          <a:off x="0" y="0"/>
                          <a:ext cx="4657725" cy="413467"/>
                        </a:xfrm>
                        <a:prstGeom prst="rect">
                          <a:avLst/>
                        </a:prstGeom>
                        <a:noFill/>
                        <a:ln w="12700" cap="flat" cmpd="sng" algn="ctr">
                          <a:noFill/>
                          <a:prstDash val="solid"/>
                          <a:miter lim="800000"/>
                        </a:ln>
                        <a:effectLst/>
                      </wps:spPr>
                      <wps:txbx>
                        <w:txbxContent>
                          <w:p w14:paraId="19B204D5" w14:textId="6CC77C7F" w:rsidR="00997CC5" w:rsidRPr="00963E88" w:rsidRDefault="00963E88" w:rsidP="00963E88">
                            <w:pPr>
                              <w:spacing w:after="0" w:line="240" w:lineRule="atLeast"/>
                              <w:rPr>
                                <w:rFonts w:ascii="Arial" w:hAnsi="Arial" w:cs="Arial"/>
                                <w:color w:val="000000"/>
                                <w:sz w:val="14"/>
                                <w:szCs w:val="14"/>
                              </w:rPr>
                            </w:pPr>
                            <w:r>
                              <w:rPr>
                                <w:rFonts w:ascii="Arial" w:hAnsi="Arial" w:cs="Arial"/>
                                <w:color w:val="000000"/>
                                <w:sz w:val="14"/>
                                <w:szCs w:val="14"/>
                              </w:rPr>
                              <w:t xml:space="preserve">                       </w:t>
                            </w:r>
                            <w:r w:rsidR="00997CC5" w:rsidRPr="00963E88">
                              <w:rPr>
                                <w:rFonts w:ascii="Arial" w:hAnsi="Arial" w:cs="Arial"/>
                                <w:color w:val="000000"/>
                                <w:sz w:val="14"/>
                                <w:szCs w:val="14"/>
                              </w:rPr>
                              <w:t>Fuente: Departamento de Control de Ingresos, Subsecretaría de Ingresos.</w:t>
                            </w:r>
                          </w:p>
                          <w:p w14:paraId="5D702476" w14:textId="77777777" w:rsidR="00997CC5" w:rsidRPr="00963E88" w:rsidRDefault="00997CC5" w:rsidP="00997CC5">
                            <w:pPr>
                              <w:spacing w:after="0" w:line="240" w:lineRule="atLeast"/>
                              <w:jc w:val="center"/>
                              <w:rPr>
                                <w:rFonts w:ascii="Arial" w:hAnsi="Arial" w:cs="Arial"/>
                                <w:color w:val="000000"/>
                                <w:sz w:val="14"/>
                                <w:szCs w:val="14"/>
                              </w:rPr>
                            </w:pPr>
                            <w:r w:rsidRPr="00963E88">
                              <w:rPr>
                                <w:rFonts w:ascii="Arial" w:hAnsi="Arial" w:cs="Arial"/>
                                <w:color w:val="000000"/>
                                <w:sz w:val="14"/>
                                <w:szCs w:val="14"/>
                              </w:rPr>
                              <w:t>Elaboración: Departamento de Atención al Sistema Nacional de Coordinación Fiscal.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A75188" id="Rectángulo 32" o:spid="_x0000_s1030" style="position:absolute;left:0;text-align:left;margin-left:2.5pt;margin-top:5.7pt;width:366.75pt;height:32.55pt;z-index:-251521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" filled="f" stroked="f" strokeweight="1pt">
                <v:textbox>
                  <w:txbxContent>
                    <w:p w14:paraId="19B204D5" w14:textId="6CC77C7F" w:rsidR="00997CC5" w:rsidRPr="00963E88" w:rsidRDefault="00963E88" w:rsidP="00963E88">
                      <w:pPr>
                        <w:spacing w:after="0" w:line="240" w:lineRule="atLeast"/>
                        <w:rPr>
                          <w:rFonts w:ascii="Arial" w:hAnsi="Arial" w:cs="Arial"/>
                          <w:color w:val="000000"/>
                          <w:sz w:val="14"/>
                          <w:szCs w:val="14"/>
                        </w:rPr>
                      </w:pPr>
                      <w:r>
                        <w:rPr>
                          <w:rFonts w:ascii="Arial" w:hAnsi="Arial" w:cs="Arial"/>
                          <w:color w:val="000000"/>
                          <w:sz w:val="14"/>
                          <w:szCs w:val="14"/>
                        </w:rPr>
                        <w:t xml:space="preserve">                       </w:t>
                      </w:r>
                      <w:r w:rsidR="00997CC5" w:rsidRPr="00963E88">
                        <w:rPr>
                          <w:rFonts w:ascii="Arial" w:hAnsi="Arial" w:cs="Arial"/>
                          <w:color w:val="000000"/>
                          <w:sz w:val="14"/>
                          <w:szCs w:val="14"/>
                        </w:rPr>
                        <w:t>Fuente: Departamento de Control de Ingresos, Subsecretaría de Ingresos.</w:t>
                      </w:r>
                    </w:p>
                    <w:p w14:paraId="5D702476" w14:textId="77777777" w:rsidR="00997CC5" w:rsidRPr="00963E88" w:rsidRDefault="00997CC5" w:rsidP="00997CC5">
                      <w:pPr>
                        <w:spacing w:after="0" w:line="240" w:lineRule="atLeast"/>
                        <w:jc w:val="center"/>
                        <w:rPr>
                          <w:rFonts w:ascii="Arial" w:hAnsi="Arial" w:cs="Arial"/>
                          <w:color w:val="000000"/>
                          <w:sz w:val="14"/>
                          <w:szCs w:val="14"/>
                        </w:rPr>
                      </w:pPr>
                      <w:r w:rsidRPr="00963E88">
                        <w:rPr>
                          <w:rFonts w:ascii="Arial" w:hAnsi="Arial" w:cs="Arial"/>
                          <w:color w:val="000000"/>
                          <w:sz w:val="14"/>
                          <w:szCs w:val="14"/>
                        </w:rPr>
                        <w:t>Elaboración: Departamento de Atención al Sistema Nacional de Coordinación Fiscal.</w:t>
                      </w:r>
                    </w:p>
                  </w:txbxContent>
                </v:textbox>
                <w10:wrap anchorx="margin"/>
              </v:rect>
            </w:pict>
          </mc:Fallback>
        </mc:AlternateContent>
      </w:r>
    </w:p>
    <w:p w14:paraId="73528B2A" w14:textId="6011B255" w:rsidR="00997CC5" w:rsidRPr="00963E88" w:rsidRDefault="00963E88" w:rsidP="005D5870">
      <w:pPr>
        <w:spacing w:before="120" w:after="200" w:line="360" w:lineRule="auto"/>
        <w:jc w:val="both"/>
        <w:rPr>
          <w:rFonts w:ascii="Arial" w:eastAsia="Calibri" w:hAnsi="Arial" w:cs="Arial"/>
          <w:kern w:val="0"/>
          <w:sz w:val="16"/>
          <w:szCs w:val="16"/>
          <w14:ligatures w14:val="none"/>
        </w:rPr>
      </w:pPr>
      <w:r>
        <w:rPr>
          <w:rFonts w:ascii="Arial" w:eastAsia="Calibri" w:hAnsi="Arial" w:cs="Arial"/>
          <w:kern w:val="0"/>
          <w:sz w:val="16"/>
          <w:szCs w:val="16"/>
          <w14:ligatures w14:val="none"/>
        </w:rPr>
        <w:t xml:space="preserve">                                                                     </w:t>
      </w:r>
    </w:p>
    <w:bookmarkEnd w:id="17"/>
    <w:bookmarkEnd w:id="18"/>
    <w:p w14:paraId="2916B29B" w14:textId="6CE2904A" w:rsidR="00485AB7" w:rsidRDefault="00485AB7" w:rsidP="00660D1B">
      <w:pPr>
        <w:rPr>
          <w:rFonts w:ascii="Helvetica" w:eastAsia="Calibri" w:hAnsi="Helvetica" w:cs="Times New Roman"/>
          <w:noProof/>
          <w:kern w:val="0"/>
          <w:sz w:val="24"/>
          <w:lang w:eastAsia="es-MX"/>
          <w14:ligatures w14:val="none"/>
        </w:rPr>
      </w:pPr>
    </w:p>
    <w:p w14:paraId="1792021E" w14:textId="5E5AF1CB" w:rsidR="00AD220E" w:rsidRDefault="00FF73A2" w:rsidP="00390849">
      <w:pPr>
        <w:spacing w:after="0" w:line="360" w:lineRule="auto"/>
        <w:jc w:val="both"/>
        <w:rPr>
          <w:rFonts w:ascii="Arial" w:hAnsi="Arial" w:cs="Arial"/>
          <w:b/>
          <w:bCs/>
          <w:color w:val="000000" w:themeColor="text1"/>
          <w:sz w:val="24"/>
          <w:szCs w:val="24"/>
        </w:rPr>
      </w:pPr>
      <w:r w:rsidRPr="00390849">
        <w:rPr>
          <w:rFonts w:ascii="Arial" w:hAnsi="Arial" w:cs="Arial"/>
          <w:b/>
          <w:bCs/>
          <w:color w:val="000000" w:themeColor="text1"/>
          <w:sz w:val="24"/>
          <w:szCs w:val="24"/>
        </w:rPr>
        <w:t>Del cual:</w:t>
      </w:r>
    </w:p>
    <w:p w14:paraId="7814450F" w14:textId="0A16D137" w:rsidR="003E54B2" w:rsidRDefault="003E54B2" w:rsidP="003E54B2">
      <w:pPr>
        <w:spacing w:before="120" w:after="240" w:line="240" w:lineRule="auto"/>
        <w:ind w:left="1004"/>
        <w:contextualSpacing/>
        <w:jc w:val="both"/>
        <w:rPr>
          <w:rFonts w:ascii="Helvetica" w:eastAsia="Calibri" w:hAnsi="Helvetica" w:cs="Times New Roman"/>
          <w:kern w:val="0"/>
          <w:sz w:val="24"/>
          <w14:ligatures w14:val="none"/>
        </w:rPr>
      </w:pPr>
    </w:p>
    <w:p w14:paraId="324CC2CF" w14:textId="5D00F64A" w:rsidR="00997CC5" w:rsidRDefault="00997CC5" w:rsidP="00997CC5">
      <w:pPr>
        <w:spacing w:after="240" w:line="240" w:lineRule="auto"/>
        <w:ind w:left="720" w:firstLine="284"/>
        <w:contextualSpacing/>
        <w:jc w:val="both"/>
        <w:rPr>
          <w:rFonts w:ascii="Arial" w:eastAsia="Calibri" w:hAnsi="Arial" w:cs="Arial"/>
          <w:kern w:val="0"/>
          <w:sz w:val="24"/>
          <w14:ligatures w14:val="none"/>
        </w:rPr>
      </w:pPr>
    </w:p>
    <w:p w14:paraId="08F56A4D" w14:textId="49FBB149" w:rsidR="00C40B0B" w:rsidRDefault="00C40B0B" w:rsidP="00997CC5">
      <w:pPr>
        <w:spacing w:after="240" w:line="240" w:lineRule="auto"/>
        <w:ind w:left="720" w:firstLine="284"/>
        <w:contextualSpacing/>
        <w:jc w:val="both"/>
        <w:rPr>
          <w:rFonts w:ascii="Arial" w:eastAsia="Calibri" w:hAnsi="Arial" w:cs="Arial"/>
          <w:kern w:val="0"/>
          <w:sz w:val="24"/>
          <w14:ligatures w14:val="none"/>
        </w:rPr>
      </w:pPr>
    </w:p>
    <w:p w14:paraId="11C4162A" w14:textId="77777777" w:rsidR="00C40B0B" w:rsidRPr="00C40B0B" w:rsidRDefault="00C40B0B" w:rsidP="00C40B0B">
      <w:pPr>
        <w:numPr>
          <w:ilvl w:val="0"/>
          <w:numId w:val="4"/>
        </w:numPr>
        <w:spacing w:before="120" w:after="240" w:line="240" w:lineRule="auto"/>
        <w:ind w:left="1004"/>
        <w:contextualSpacing/>
        <w:jc w:val="both"/>
        <w:rPr>
          <w:rFonts w:ascii="Arial" w:eastAsia="Calibri" w:hAnsi="Arial" w:cs="Arial"/>
          <w:kern w:val="0"/>
          <w:sz w:val="24"/>
          <w14:ligatures w14:val="none"/>
        </w:rPr>
      </w:pPr>
      <w:r w:rsidRPr="00C40B0B">
        <w:rPr>
          <w:rFonts w:ascii="Arial" w:eastAsia="Calibri" w:hAnsi="Arial" w:cs="Arial"/>
          <w:kern w:val="0"/>
          <w:sz w:val="24"/>
          <w14:ligatures w14:val="none"/>
        </w:rPr>
        <w:t>Referente al rubro de Participaciones Federales, se registró un monto total de $8,642,262,549.93, que representa un avance del 103.36% en relación con la Ley de Ingresos 2026.</w:t>
      </w:r>
    </w:p>
    <w:p w14:paraId="2A930594" w14:textId="77777777" w:rsidR="00C40B0B" w:rsidRPr="00C40B0B" w:rsidRDefault="00C40B0B" w:rsidP="00C40B0B">
      <w:pPr>
        <w:spacing w:after="240" w:line="240" w:lineRule="auto"/>
        <w:ind w:left="1004"/>
        <w:contextualSpacing/>
        <w:jc w:val="both"/>
        <w:rPr>
          <w:rFonts w:ascii="Arial" w:eastAsia="Calibri" w:hAnsi="Arial" w:cs="Arial"/>
          <w:kern w:val="0"/>
          <w:sz w:val="24"/>
          <w14:ligatures w14:val="none"/>
        </w:rPr>
      </w:pPr>
    </w:p>
    <w:p w14:paraId="6549BAB5" w14:textId="77777777" w:rsidR="00C40B0B" w:rsidRPr="00C40B0B" w:rsidRDefault="00C40B0B" w:rsidP="00C40B0B">
      <w:pPr>
        <w:numPr>
          <w:ilvl w:val="0"/>
          <w:numId w:val="4"/>
        </w:numPr>
        <w:spacing w:before="120" w:after="240" w:line="240" w:lineRule="auto"/>
        <w:ind w:left="1004"/>
        <w:contextualSpacing/>
        <w:jc w:val="both"/>
        <w:rPr>
          <w:rFonts w:ascii="Arial" w:eastAsia="Calibri" w:hAnsi="Arial" w:cs="Arial"/>
          <w:kern w:val="0"/>
          <w:sz w:val="24"/>
          <w14:ligatures w14:val="none"/>
        </w:rPr>
      </w:pPr>
      <w:r w:rsidRPr="00C40B0B">
        <w:rPr>
          <w:rFonts w:ascii="Arial" w:eastAsia="Calibri" w:hAnsi="Arial" w:cs="Arial"/>
          <w:kern w:val="0"/>
          <w:sz w:val="24"/>
          <w14:ligatures w14:val="none"/>
        </w:rPr>
        <w:t>Referente al rubro de Fondos de Aportaciones del Ramo 33, se registró un monto de $15,709,836,054.32, que representa un avance del 107.85% con relación a la Ley de Ingresos 2026.</w:t>
      </w:r>
    </w:p>
    <w:p w14:paraId="588C9795" w14:textId="77777777" w:rsidR="00C40B0B" w:rsidRPr="00C40B0B" w:rsidRDefault="00C40B0B" w:rsidP="00C40B0B">
      <w:pPr>
        <w:spacing w:after="240" w:line="240" w:lineRule="auto"/>
        <w:ind w:left="720" w:firstLine="284"/>
        <w:contextualSpacing/>
        <w:jc w:val="both"/>
        <w:rPr>
          <w:rFonts w:ascii="Arial" w:eastAsia="Calibri" w:hAnsi="Arial" w:cs="Arial"/>
          <w:kern w:val="0"/>
          <w:sz w:val="24"/>
          <w14:ligatures w14:val="none"/>
        </w:rPr>
      </w:pPr>
    </w:p>
    <w:p w14:paraId="24A00333" w14:textId="73B62ECA" w:rsidR="00C40B0B" w:rsidRPr="00C40B0B" w:rsidRDefault="00C40B0B" w:rsidP="00C40B0B">
      <w:pPr>
        <w:numPr>
          <w:ilvl w:val="0"/>
          <w:numId w:val="4"/>
        </w:numPr>
        <w:spacing w:before="120" w:after="240" w:line="240" w:lineRule="auto"/>
        <w:ind w:left="1004"/>
        <w:contextualSpacing/>
        <w:jc w:val="both"/>
        <w:rPr>
          <w:rFonts w:ascii="Arial" w:eastAsia="Calibri" w:hAnsi="Arial" w:cs="Arial"/>
          <w:kern w:val="0"/>
          <w:sz w:val="24"/>
          <w14:ligatures w14:val="none"/>
        </w:rPr>
      </w:pPr>
      <w:r w:rsidRPr="00C40B0B">
        <w:rPr>
          <w:rFonts w:ascii="Arial" w:eastAsia="Calibri" w:hAnsi="Arial" w:cs="Arial"/>
          <w:kern w:val="0"/>
          <w:sz w:val="24"/>
          <w14:ligatures w14:val="none"/>
        </w:rPr>
        <w:lastRenderedPageBreak/>
        <w:t>Referente al rubro de Convenios, se registró un monto total de $1,252,79</w:t>
      </w:r>
      <w:r w:rsidR="008A4A90">
        <w:rPr>
          <w:rFonts w:ascii="Arial" w:eastAsia="Calibri" w:hAnsi="Arial" w:cs="Arial"/>
          <w:kern w:val="0"/>
          <w:sz w:val="24"/>
          <w14:ligatures w14:val="none"/>
        </w:rPr>
        <w:t>1</w:t>
      </w:r>
      <w:r w:rsidRPr="00C40B0B">
        <w:rPr>
          <w:rFonts w:ascii="Arial" w:eastAsia="Calibri" w:hAnsi="Arial" w:cs="Arial"/>
          <w:kern w:val="0"/>
          <w:sz w:val="24"/>
          <w14:ligatures w14:val="none"/>
        </w:rPr>
        <w:t>,</w:t>
      </w:r>
      <w:r w:rsidR="008A4A90">
        <w:rPr>
          <w:rFonts w:ascii="Arial" w:eastAsia="Calibri" w:hAnsi="Arial" w:cs="Arial"/>
          <w:kern w:val="0"/>
          <w:sz w:val="24"/>
          <w14:ligatures w14:val="none"/>
        </w:rPr>
        <w:t>725</w:t>
      </w:r>
      <w:r w:rsidRPr="00C40B0B">
        <w:rPr>
          <w:rFonts w:ascii="Arial" w:eastAsia="Calibri" w:hAnsi="Arial" w:cs="Arial"/>
          <w:kern w:val="0"/>
          <w:sz w:val="24"/>
          <w14:ligatures w14:val="none"/>
        </w:rPr>
        <w:t xml:space="preserve">.61, que representa un avance del 277.97% con relación a la Ley de Ingresos 2026. </w:t>
      </w:r>
    </w:p>
    <w:p w14:paraId="29A78DBA" w14:textId="77777777" w:rsidR="00C40B0B" w:rsidRPr="00C40B0B" w:rsidRDefault="00C40B0B" w:rsidP="00C40B0B">
      <w:pPr>
        <w:spacing w:after="240" w:line="240" w:lineRule="auto"/>
        <w:ind w:left="720" w:firstLine="284"/>
        <w:contextualSpacing/>
        <w:jc w:val="both"/>
        <w:rPr>
          <w:rFonts w:ascii="Arial" w:eastAsia="Calibri" w:hAnsi="Arial" w:cs="Arial"/>
          <w:kern w:val="0"/>
          <w:sz w:val="24"/>
          <w14:ligatures w14:val="none"/>
        </w:rPr>
      </w:pPr>
    </w:p>
    <w:p w14:paraId="361B9A86" w14:textId="5C03DFEB" w:rsidR="00C40B0B" w:rsidRDefault="00C40B0B" w:rsidP="00997CC5">
      <w:pPr>
        <w:spacing w:after="240" w:line="240" w:lineRule="auto"/>
        <w:ind w:left="720" w:firstLine="284"/>
        <w:contextualSpacing/>
        <w:jc w:val="both"/>
        <w:rPr>
          <w:rFonts w:ascii="Arial" w:eastAsia="Calibri" w:hAnsi="Arial" w:cs="Arial"/>
          <w:kern w:val="0"/>
          <w:sz w:val="24"/>
          <w14:ligatures w14:val="none"/>
        </w:rPr>
      </w:pPr>
    </w:p>
    <w:p w14:paraId="1BB22107" w14:textId="1BA9B72D" w:rsidR="00C40B0B" w:rsidRDefault="00C40B0B" w:rsidP="00997CC5">
      <w:pPr>
        <w:spacing w:after="240" w:line="240" w:lineRule="auto"/>
        <w:ind w:left="720" w:firstLine="284"/>
        <w:contextualSpacing/>
        <w:jc w:val="both"/>
        <w:rPr>
          <w:rFonts w:ascii="Arial" w:eastAsia="Calibri" w:hAnsi="Arial" w:cs="Arial"/>
          <w:kern w:val="0"/>
          <w:sz w:val="24"/>
          <w14:ligatures w14:val="none"/>
        </w:rPr>
      </w:pPr>
    </w:p>
    <w:p w14:paraId="5250EC77" w14:textId="77777777" w:rsidR="00AA433E" w:rsidRDefault="00AA433E" w:rsidP="003E54B2">
      <w:pPr>
        <w:spacing w:before="120" w:after="240" w:line="240" w:lineRule="auto"/>
        <w:ind w:left="1004"/>
        <w:contextualSpacing/>
        <w:jc w:val="both"/>
        <w:rPr>
          <w:rFonts w:ascii="Helvetica" w:eastAsia="Calibri" w:hAnsi="Helvetica" w:cs="Times New Roman"/>
          <w:kern w:val="0"/>
          <w:sz w:val="24"/>
          <w14:ligatures w14:val="none"/>
        </w:rPr>
      </w:pPr>
    </w:p>
    <w:p w14:paraId="5DC2DCF4" w14:textId="43806885" w:rsidR="00AD220E" w:rsidRPr="00AA433E" w:rsidRDefault="00AA433E" w:rsidP="00150443">
      <w:pPr>
        <w:keepNext/>
        <w:keepLines/>
        <w:spacing w:before="40" w:after="0" w:line="240" w:lineRule="auto"/>
        <w:ind w:left="-397"/>
        <w:jc w:val="both"/>
        <w:outlineLvl w:val="3"/>
        <w:rPr>
          <w:rFonts w:ascii="Arial" w:eastAsia="Times New Roman" w:hAnsi="Arial" w:cs="Arial"/>
          <w:b/>
          <w:i/>
          <w:iCs/>
          <w:color w:val="000000" w:themeColor="text1"/>
          <w:kern w:val="0"/>
          <w:sz w:val="24"/>
          <w14:ligatures w14:val="none"/>
        </w:rPr>
      </w:pPr>
      <w:bookmarkStart w:id="19" w:name="_Hlk162257634"/>
      <w:r w:rsidRPr="00AA433E">
        <w:rPr>
          <w:rFonts w:ascii="Arial" w:eastAsia="Times New Roman" w:hAnsi="Arial" w:cs="Arial"/>
          <w:b/>
          <w:i/>
          <w:iCs/>
          <w:color w:val="000000" w:themeColor="text1"/>
          <w:kern w:val="0"/>
          <w:sz w:val="24"/>
          <w14:ligatures w14:val="none"/>
        </w:rPr>
        <w:t xml:space="preserve">  </w:t>
      </w:r>
      <w:r w:rsidR="00AD220E" w:rsidRPr="00AA433E">
        <w:rPr>
          <w:rFonts w:ascii="Arial" w:eastAsia="Times New Roman" w:hAnsi="Arial" w:cs="Arial"/>
          <w:b/>
          <w:i/>
          <w:iCs/>
          <w:color w:val="000000" w:themeColor="text1"/>
          <w:kern w:val="0"/>
          <w:sz w:val="24"/>
          <w14:ligatures w14:val="none"/>
        </w:rPr>
        <w:t>Participaciones Federales</w:t>
      </w:r>
    </w:p>
    <w:p w14:paraId="77D4991F" w14:textId="77777777" w:rsidR="00AA433E" w:rsidRDefault="00AA433E" w:rsidP="00150443">
      <w:pPr>
        <w:keepNext/>
        <w:keepLines/>
        <w:spacing w:before="40" w:after="0" w:line="240" w:lineRule="auto"/>
        <w:ind w:left="-397"/>
        <w:jc w:val="both"/>
        <w:outlineLvl w:val="3"/>
        <w:rPr>
          <w:rFonts w:ascii="Arial" w:eastAsia="Times New Roman" w:hAnsi="Arial" w:cs="Arial"/>
          <w:b/>
          <w:color w:val="000000" w:themeColor="text1"/>
          <w:kern w:val="0"/>
          <w:sz w:val="24"/>
          <w14:ligatures w14:val="none"/>
        </w:rPr>
      </w:pPr>
    </w:p>
    <w:p w14:paraId="25D8F6A6" w14:textId="77777777" w:rsidR="00C40B0B" w:rsidRPr="00C40B0B" w:rsidRDefault="00C40B0B" w:rsidP="00150443">
      <w:pPr>
        <w:spacing w:after="0" w:line="360" w:lineRule="auto"/>
        <w:ind w:left="-397"/>
        <w:jc w:val="both"/>
        <w:rPr>
          <w:rFonts w:ascii="Arial" w:eastAsia="Calibri" w:hAnsi="Arial" w:cs="Arial"/>
          <w:b/>
          <w:bCs/>
          <w:color w:val="000000"/>
          <w:kern w:val="0"/>
          <w:sz w:val="18"/>
          <w:szCs w:val="18"/>
          <w:lang w:eastAsia="es-MX"/>
          <w14:ligatures w14:val="none"/>
        </w:rPr>
      </w:pPr>
      <w:r w:rsidRPr="00C40B0B">
        <w:rPr>
          <w:rFonts w:ascii="Arial" w:eastAsia="Calibri" w:hAnsi="Arial" w:cs="Arial"/>
          <w:kern w:val="0"/>
          <w:sz w:val="24"/>
          <w14:ligatures w14:val="none"/>
        </w:rPr>
        <w:t xml:space="preserve">Del total de los ingresos recaudados al primer trimestre de 2026, las </w:t>
      </w:r>
      <w:r w:rsidRPr="00C40B0B">
        <w:rPr>
          <w:rFonts w:ascii="Arial" w:eastAsia="Calibri" w:hAnsi="Arial" w:cs="Arial"/>
          <w:b/>
          <w:bCs/>
          <w:i/>
          <w:kern w:val="0"/>
          <w:sz w:val="24"/>
          <w14:ligatures w14:val="none"/>
        </w:rPr>
        <w:t>Participaciones</w:t>
      </w:r>
      <w:r w:rsidRPr="00C40B0B">
        <w:rPr>
          <w:rFonts w:ascii="Arial" w:eastAsia="Calibri" w:hAnsi="Arial" w:cs="Arial"/>
          <w:i/>
          <w:kern w:val="0"/>
          <w:sz w:val="24"/>
          <w14:ligatures w14:val="none"/>
        </w:rPr>
        <w:t xml:space="preserve"> </w:t>
      </w:r>
      <w:r w:rsidRPr="00C40B0B">
        <w:rPr>
          <w:rFonts w:ascii="Arial" w:eastAsia="Calibri" w:hAnsi="Arial" w:cs="Arial"/>
          <w:kern w:val="0"/>
          <w:sz w:val="24"/>
          <w14:ligatures w14:val="none"/>
        </w:rPr>
        <w:t xml:space="preserve">representan el </w:t>
      </w:r>
      <w:r w:rsidRPr="00C40B0B">
        <w:rPr>
          <w:rFonts w:ascii="Arial" w:eastAsia="Calibri" w:hAnsi="Arial" w:cs="Arial"/>
          <w:b/>
          <w:bCs/>
          <w:kern w:val="0"/>
          <w:sz w:val="24"/>
          <w14:ligatures w14:val="none"/>
        </w:rPr>
        <w:t>32.39%</w:t>
      </w:r>
      <w:r w:rsidRPr="00C40B0B">
        <w:rPr>
          <w:rFonts w:ascii="Arial" w:eastAsia="Calibri" w:hAnsi="Arial" w:cs="Arial"/>
          <w:kern w:val="0"/>
          <w:sz w:val="24"/>
          <w14:ligatures w14:val="none"/>
        </w:rPr>
        <w:t xml:space="preserve">, de los ingresos recaudados, el monto asciende a </w:t>
      </w:r>
      <w:r w:rsidRPr="00C40B0B">
        <w:rPr>
          <w:rFonts w:ascii="Arial" w:eastAsia="Calibri" w:hAnsi="Arial" w:cs="Arial"/>
          <w:b/>
          <w:bCs/>
          <w:kern w:val="0"/>
          <w:sz w:val="24"/>
          <w14:ligatures w14:val="none"/>
        </w:rPr>
        <w:t>$</w:t>
      </w:r>
      <w:r w:rsidRPr="00C40B0B">
        <w:rPr>
          <w:rFonts w:ascii="Helvetica" w:eastAsia="Calibri" w:hAnsi="Helvetica" w:cs="Times New Roman"/>
          <w:b/>
          <w:bCs/>
          <w:kern w:val="0"/>
          <w:sz w:val="24"/>
          <w14:ligatures w14:val="none"/>
        </w:rPr>
        <w:t xml:space="preserve"> </w:t>
      </w:r>
      <w:r w:rsidRPr="00C40B0B">
        <w:rPr>
          <w:rFonts w:ascii="Arial" w:eastAsia="Calibri" w:hAnsi="Arial" w:cs="Arial"/>
          <w:b/>
          <w:bCs/>
          <w:kern w:val="0"/>
          <w:sz w:val="24"/>
          <w14:ligatures w14:val="none"/>
        </w:rPr>
        <w:t>8,642,262,549.84</w:t>
      </w:r>
      <w:r w:rsidRPr="00C40B0B">
        <w:rPr>
          <w:rFonts w:ascii="Arial" w:eastAsia="Calibri" w:hAnsi="Arial" w:cs="Arial"/>
          <w:kern w:val="0"/>
          <w:sz w:val="24"/>
          <w14:ligatures w14:val="none"/>
        </w:rPr>
        <w:t xml:space="preserve">, los cuales representan un avance del </w:t>
      </w:r>
      <w:r w:rsidRPr="00C40B0B">
        <w:rPr>
          <w:rFonts w:ascii="Arial" w:eastAsia="Calibri" w:hAnsi="Arial" w:cs="Arial"/>
          <w:b/>
          <w:bCs/>
          <w:kern w:val="0"/>
          <w:sz w:val="24"/>
          <w14:ligatures w14:val="none"/>
        </w:rPr>
        <w:t>101.58%</w:t>
      </w:r>
      <w:r w:rsidRPr="00C40B0B">
        <w:rPr>
          <w:rFonts w:ascii="Arial" w:eastAsia="Calibri" w:hAnsi="Arial" w:cs="Arial"/>
          <w:kern w:val="0"/>
          <w:sz w:val="24"/>
          <w14:ligatures w14:val="none"/>
        </w:rPr>
        <w:t xml:space="preserve"> respecto a lo estimado para el ejercicio fiscal 2026.</w:t>
      </w:r>
      <w:r w:rsidRPr="00C40B0B">
        <w:rPr>
          <w:rFonts w:ascii="Arial" w:eastAsia="Calibri" w:hAnsi="Arial" w:cs="Arial"/>
          <w:b/>
          <w:bCs/>
          <w:color w:val="000000"/>
          <w:kern w:val="0"/>
          <w:sz w:val="18"/>
          <w:szCs w:val="18"/>
          <w:lang w:eastAsia="es-MX"/>
          <w14:ligatures w14:val="none"/>
        </w:rPr>
        <w:t xml:space="preserve"> </w:t>
      </w:r>
    </w:p>
    <w:p w14:paraId="7CD9E266" w14:textId="69980C81" w:rsidR="00067EAA" w:rsidRDefault="00067EAA" w:rsidP="00150443">
      <w:pPr>
        <w:keepNext/>
        <w:keepLines/>
        <w:spacing w:before="40" w:after="0" w:line="240" w:lineRule="auto"/>
        <w:ind w:left="-397" w:firstLine="284"/>
        <w:jc w:val="both"/>
        <w:outlineLvl w:val="3"/>
        <w:rPr>
          <w:rFonts w:ascii="Arial" w:eastAsia="Times New Roman" w:hAnsi="Arial" w:cs="Arial"/>
          <w:b/>
          <w:color w:val="000000" w:themeColor="text1"/>
          <w:kern w:val="0"/>
          <w:sz w:val="24"/>
          <w14:ligatures w14:val="none"/>
        </w:rPr>
      </w:pPr>
    </w:p>
    <w:p w14:paraId="77A0A39E" w14:textId="1DCF6F89" w:rsidR="00FF73A2" w:rsidRDefault="00FF73A2" w:rsidP="00506EBD">
      <w:pPr>
        <w:pStyle w:val="Descripcin"/>
        <w:spacing w:before="0" w:after="0"/>
        <w:rPr>
          <w:rFonts w:ascii="Arial" w:hAnsi="Arial" w:cs="Arial"/>
          <w:i w:val="0"/>
          <w:iCs w:val="0"/>
          <w:color w:val="000000" w:themeColor="text1"/>
          <w:sz w:val="20"/>
          <w:szCs w:val="20"/>
        </w:rPr>
      </w:pPr>
      <w:bookmarkStart w:id="20" w:name="_Hlk162257371"/>
      <w:bookmarkStart w:id="21" w:name="_Hlk102648750"/>
      <w:bookmarkEnd w:id="19"/>
      <w:r w:rsidRPr="00046863">
        <w:rPr>
          <w:rFonts w:ascii="Arial" w:hAnsi="Arial" w:cs="Arial"/>
          <w:i w:val="0"/>
          <w:iCs w:val="0"/>
          <w:color w:val="000000" w:themeColor="text1"/>
          <w:sz w:val="20"/>
          <w:szCs w:val="20"/>
        </w:rPr>
        <w:t>(pesos)</w:t>
      </w:r>
    </w:p>
    <w:p w14:paraId="75DCE10A" w14:textId="47AE5042" w:rsidR="00997CC5" w:rsidRPr="00997CC5" w:rsidRDefault="00997CC5" w:rsidP="00997CC5">
      <w:pPr>
        <w:spacing w:after="0" w:line="240" w:lineRule="auto"/>
        <w:ind w:firstLine="284"/>
        <w:jc w:val="center"/>
        <w:rPr>
          <w:rFonts w:ascii="Arial" w:eastAsia="Calibri" w:hAnsi="Arial" w:cs="Arial"/>
          <w:i/>
          <w:iCs/>
          <w:color w:val="595959"/>
          <w:kern w:val="0"/>
          <w:sz w:val="18"/>
          <w:szCs w:val="18"/>
          <w14:ligatures w14:val="none"/>
        </w:rPr>
      </w:pPr>
      <w:bookmarkStart w:id="22" w:name="_Hlk162257386"/>
      <w:bookmarkEnd w:id="20"/>
      <w:r w:rsidRPr="00997CC5">
        <w:rPr>
          <w:rFonts w:ascii="Arial" w:eastAsia="Calibri" w:hAnsi="Arial" w:cs="Arial"/>
          <w:i/>
          <w:iCs/>
          <w:color w:val="595959"/>
          <w:kern w:val="0"/>
          <w:sz w:val="18"/>
          <w:szCs w:val="18"/>
          <w14:ligatures w14:val="none"/>
        </w:rPr>
        <w:t xml:space="preserve">Tabla </w:t>
      </w:r>
      <w:r w:rsidR="00C40B0B">
        <w:rPr>
          <w:rFonts w:ascii="Arial" w:eastAsia="Calibri" w:hAnsi="Arial" w:cs="Arial"/>
          <w:i/>
          <w:iCs/>
          <w:color w:val="595959"/>
          <w:kern w:val="0"/>
          <w:sz w:val="18"/>
          <w:szCs w:val="18"/>
          <w14:ligatures w14:val="none"/>
        </w:rPr>
        <w:t>5</w:t>
      </w:r>
      <w:r w:rsidRPr="00997CC5">
        <w:rPr>
          <w:rFonts w:ascii="Arial" w:eastAsia="Calibri" w:hAnsi="Arial" w:cs="Arial"/>
          <w:i/>
          <w:iCs/>
          <w:color w:val="595959"/>
          <w:kern w:val="0"/>
          <w:sz w:val="18"/>
          <w:szCs w:val="18"/>
          <w14:ligatures w14:val="none"/>
        </w:rPr>
        <w:t>. Ingresos federales, Participaciones</w:t>
      </w:r>
    </w:p>
    <w:p w14:paraId="1CD02ACB" w14:textId="77777777" w:rsidR="00C40B0B" w:rsidRDefault="00C40B0B" w:rsidP="004A4A1C">
      <w:pPr>
        <w:spacing w:after="0" w:line="360" w:lineRule="auto"/>
        <w:jc w:val="center"/>
        <w:rPr>
          <w:rFonts w:ascii="Arial" w:hAnsi="Arial" w:cs="Arial"/>
          <w:color w:val="000000" w:themeColor="text1"/>
          <w:sz w:val="20"/>
          <w:szCs w:val="20"/>
        </w:rPr>
      </w:pPr>
    </w:p>
    <w:tbl>
      <w:tblPr>
        <w:tblW w:w="9493" w:type="dxa"/>
        <w:tblCellMar>
          <w:left w:w="70" w:type="dxa"/>
          <w:right w:w="70" w:type="dxa"/>
        </w:tblCellMar>
        <w:tblLook w:val="04A0" w:firstRow="1" w:lastRow="0" w:firstColumn="1" w:lastColumn="0" w:noHBand="0" w:noVBand="1"/>
      </w:tblPr>
      <w:tblGrid>
        <w:gridCol w:w="4390"/>
        <w:gridCol w:w="1842"/>
        <w:gridCol w:w="2268"/>
        <w:gridCol w:w="993"/>
      </w:tblGrid>
      <w:tr w:rsidR="00C40B0B" w:rsidRPr="00C40B0B" w14:paraId="167EBD83" w14:textId="77777777" w:rsidTr="00AA60CC">
        <w:trPr>
          <w:trHeight w:val="250"/>
        </w:trPr>
        <w:tc>
          <w:tcPr>
            <w:tcW w:w="4390" w:type="dxa"/>
            <w:vMerge w:val="restart"/>
            <w:tcBorders>
              <w:top w:val="single" w:sz="4" w:space="0" w:color="auto"/>
              <w:left w:val="single" w:sz="4" w:space="0" w:color="auto"/>
              <w:bottom w:val="single" w:sz="4" w:space="0" w:color="auto"/>
              <w:right w:val="single" w:sz="4" w:space="0" w:color="auto"/>
            </w:tcBorders>
            <w:shd w:val="clear" w:color="000000" w:fill="AB0033"/>
            <w:noWrap/>
            <w:vAlign w:val="center"/>
            <w:hideMark/>
          </w:tcPr>
          <w:p w14:paraId="36E7476A" w14:textId="650DFBB2" w:rsidR="00C40B0B" w:rsidRPr="00C40B0B" w:rsidRDefault="00C40B0B" w:rsidP="00C40B0B">
            <w:pPr>
              <w:spacing w:after="0" w:line="240" w:lineRule="auto"/>
              <w:jc w:val="center"/>
              <w:rPr>
                <w:rFonts w:ascii="Arial" w:eastAsia="Times New Roman" w:hAnsi="Arial" w:cs="Arial"/>
                <w:b/>
                <w:bCs/>
                <w:color w:val="FFFFFF"/>
                <w:kern w:val="0"/>
                <w:sz w:val="18"/>
                <w:szCs w:val="18"/>
                <w:lang w:eastAsia="es-MX"/>
                <w14:ligatures w14:val="none"/>
              </w:rPr>
            </w:pPr>
            <w:r>
              <w:rPr>
                <w:rFonts w:ascii="Arial" w:eastAsia="Times New Roman" w:hAnsi="Arial" w:cs="Arial"/>
                <w:b/>
                <w:bCs/>
                <w:color w:val="FFFFFF"/>
                <w:kern w:val="0"/>
                <w:sz w:val="18"/>
                <w:szCs w:val="18"/>
                <w:lang w:eastAsia="es-MX"/>
                <w14:ligatures w14:val="none"/>
              </w:rPr>
              <w:t>R</w:t>
            </w:r>
            <w:r w:rsidRPr="00C40B0B">
              <w:rPr>
                <w:rFonts w:ascii="Arial" w:eastAsia="Times New Roman" w:hAnsi="Arial" w:cs="Arial"/>
                <w:b/>
                <w:bCs/>
                <w:color w:val="FFFFFF"/>
                <w:kern w:val="0"/>
                <w:sz w:val="18"/>
                <w:szCs w:val="18"/>
                <w:lang w:eastAsia="es-MX"/>
                <w14:ligatures w14:val="none"/>
              </w:rPr>
              <w:t>ubro de Ingresos</w:t>
            </w:r>
          </w:p>
        </w:tc>
        <w:tc>
          <w:tcPr>
            <w:tcW w:w="4110" w:type="dxa"/>
            <w:gridSpan w:val="2"/>
            <w:tcBorders>
              <w:top w:val="single" w:sz="4" w:space="0" w:color="auto"/>
              <w:left w:val="nil"/>
              <w:bottom w:val="single" w:sz="4" w:space="0" w:color="auto"/>
              <w:right w:val="single" w:sz="4" w:space="0" w:color="auto"/>
            </w:tcBorders>
            <w:shd w:val="clear" w:color="000000" w:fill="AB0033"/>
            <w:noWrap/>
            <w:vAlign w:val="bottom"/>
            <w:hideMark/>
          </w:tcPr>
          <w:p w14:paraId="61AB73A4" w14:textId="77777777" w:rsidR="00C40B0B" w:rsidRPr="00C40B0B" w:rsidRDefault="00C40B0B" w:rsidP="00C40B0B">
            <w:pPr>
              <w:spacing w:after="0" w:line="240" w:lineRule="auto"/>
              <w:jc w:val="center"/>
              <w:rPr>
                <w:rFonts w:ascii="Arial" w:eastAsia="Times New Roman" w:hAnsi="Arial" w:cs="Arial"/>
                <w:b/>
                <w:bCs/>
                <w:color w:val="FFFFFF"/>
                <w:kern w:val="0"/>
                <w:sz w:val="18"/>
                <w:szCs w:val="18"/>
                <w:lang w:eastAsia="es-MX"/>
                <w14:ligatures w14:val="none"/>
              </w:rPr>
            </w:pPr>
            <w:r w:rsidRPr="00C40B0B">
              <w:rPr>
                <w:rFonts w:ascii="Arial" w:eastAsia="Times New Roman" w:hAnsi="Arial" w:cs="Arial"/>
                <w:b/>
                <w:bCs/>
                <w:color w:val="FFFFFF"/>
                <w:kern w:val="0"/>
                <w:sz w:val="18"/>
                <w:szCs w:val="18"/>
                <w:lang w:eastAsia="es-MX"/>
                <w14:ligatures w14:val="none"/>
              </w:rPr>
              <w:t>Ingreso</w:t>
            </w:r>
          </w:p>
        </w:tc>
        <w:tc>
          <w:tcPr>
            <w:tcW w:w="993" w:type="dxa"/>
            <w:vMerge w:val="restart"/>
            <w:tcBorders>
              <w:top w:val="single" w:sz="4" w:space="0" w:color="auto"/>
              <w:left w:val="single" w:sz="4" w:space="0" w:color="auto"/>
              <w:bottom w:val="single" w:sz="4" w:space="0" w:color="auto"/>
              <w:right w:val="single" w:sz="4" w:space="0" w:color="auto"/>
            </w:tcBorders>
            <w:shd w:val="clear" w:color="000000" w:fill="AB0033"/>
            <w:noWrap/>
            <w:vAlign w:val="center"/>
            <w:hideMark/>
          </w:tcPr>
          <w:p w14:paraId="09803505" w14:textId="77777777" w:rsidR="00C40B0B" w:rsidRPr="00C40B0B" w:rsidRDefault="00C40B0B" w:rsidP="00C40B0B">
            <w:pPr>
              <w:spacing w:after="0" w:line="240" w:lineRule="auto"/>
              <w:jc w:val="center"/>
              <w:rPr>
                <w:rFonts w:ascii="Arial" w:eastAsia="Times New Roman" w:hAnsi="Arial" w:cs="Arial"/>
                <w:b/>
                <w:bCs/>
                <w:color w:val="FFFFFF"/>
                <w:kern w:val="0"/>
                <w:sz w:val="18"/>
                <w:szCs w:val="18"/>
                <w:lang w:eastAsia="es-MX"/>
                <w14:ligatures w14:val="none"/>
              </w:rPr>
            </w:pPr>
            <w:r w:rsidRPr="00C40B0B">
              <w:rPr>
                <w:rFonts w:ascii="Arial" w:eastAsia="Times New Roman" w:hAnsi="Arial" w:cs="Arial"/>
                <w:b/>
                <w:bCs/>
                <w:color w:val="FFFFFF"/>
                <w:kern w:val="0"/>
                <w:sz w:val="18"/>
                <w:szCs w:val="18"/>
                <w:lang w:eastAsia="es-MX"/>
                <w14:ligatures w14:val="none"/>
              </w:rPr>
              <w:t>Avance</w:t>
            </w:r>
          </w:p>
        </w:tc>
      </w:tr>
      <w:tr w:rsidR="00C40B0B" w:rsidRPr="00C40B0B" w14:paraId="1C2C2379" w14:textId="77777777" w:rsidTr="00AA60CC">
        <w:trPr>
          <w:trHeight w:val="368"/>
        </w:trPr>
        <w:tc>
          <w:tcPr>
            <w:tcW w:w="4390" w:type="dxa"/>
            <w:vMerge/>
            <w:tcBorders>
              <w:top w:val="single" w:sz="4" w:space="0" w:color="auto"/>
              <w:left w:val="single" w:sz="4" w:space="0" w:color="auto"/>
              <w:bottom w:val="single" w:sz="4" w:space="0" w:color="auto"/>
              <w:right w:val="single" w:sz="4" w:space="0" w:color="auto"/>
            </w:tcBorders>
            <w:vAlign w:val="center"/>
            <w:hideMark/>
          </w:tcPr>
          <w:p w14:paraId="17390303" w14:textId="77777777" w:rsidR="00C40B0B" w:rsidRPr="00C40B0B" w:rsidRDefault="00C40B0B" w:rsidP="00C40B0B">
            <w:pPr>
              <w:spacing w:after="0" w:line="240" w:lineRule="auto"/>
              <w:rPr>
                <w:rFonts w:ascii="Arial" w:eastAsia="Times New Roman" w:hAnsi="Arial" w:cs="Arial"/>
                <w:b/>
                <w:bCs/>
                <w:color w:val="FFFFFF"/>
                <w:kern w:val="0"/>
                <w:sz w:val="18"/>
                <w:szCs w:val="18"/>
                <w:lang w:eastAsia="es-MX"/>
                <w14:ligatures w14:val="none"/>
              </w:rPr>
            </w:pPr>
          </w:p>
        </w:tc>
        <w:tc>
          <w:tcPr>
            <w:tcW w:w="1842" w:type="dxa"/>
            <w:tcBorders>
              <w:top w:val="nil"/>
              <w:left w:val="nil"/>
              <w:bottom w:val="single" w:sz="4" w:space="0" w:color="auto"/>
              <w:right w:val="single" w:sz="4" w:space="0" w:color="auto"/>
            </w:tcBorders>
            <w:shd w:val="clear" w:color="000000" w:fill="AB0033"/>
            <w:noWrap/>
            <w:vAlign w:val="center"/>
            <w:hideMark/>
          </w:tcPr>
          <w:p w14:paraId="01355B51" w14:textId="77777777" w:rsidR="00C40B0B" w:rsidRPr="00C40B0B" w:rsidRDefault="00C40B0B" w:rsidP="00C40B0B">
            <w:pPr>
              <w:spacing w:after="0" w:line="240" w:lineRule="auto"/>
              <w:jc w:val="center"/>
              <w:rPr>
                <w:rFonts w:ascii="Arial" w:eastAsia="Times New Roman" w:hAnsi="Arial" w:cs="Arial"/>
                <w:b/>
                <w:bCs/>
                <w:color w:val="FFFFFF"/>
                <w:kern w:val="0"/>
                <w:sz w:val="18"/>
                <w:szCs w:val="18"/>
                <w:lang w:eastAsia="es-MX"/>
                <w14:ligatures w14:val="none"/>
              </w:rPr>
            </w:pPr>
            <w:r w:rsidRPr="00C40B0B">
              <w:rPr>
                <w:rFonts w:ascii="Arial" w:eastAsia="Times New Roman" w:hAnsi="Arial" w:cs="Arial"/>
                <w:b/>
                <w:bCs/>
                <w:color w:val="FFFFFF"/>
                <w:kern w:val="0"/>
                <w:sz w:val="18"/>
                <w:szCs w:val="18"/>
                <w:lang w:eastAsia="es-MX"/>
                <w14:ligatures w14:val="none"/>
              </w:rPr>
              <w:t>Estimado 2026</w:t>
            </w:r>
          </w:p>
        </w:tc>
        <w:tc>
          <w:tcPr>
            <w:tcW w:w="2268" w:type="dxa"/>
            <w:tcBorders>
              <w:top w:val="nil"/>
              <w:left w:val="nil"/>
              <w:bottom w:val="single" w:sz="4" w:space="0" w:color="auto"/>
              <w:right w:val="single" w:sz="4" w:space="0" w:color="auto"/>
            </w:tcBorders>
            <w:shd w:val="clear" w:color="000000" w:fill="AB0033"/>
            <w:vAlign w:val="center"/>
            <w:hideMark/>
          </w:tcPr>
          <w:p w14:paraId="76FCE201" w14:textId="77777777" w:rsidR="00C40B0B" w:rsidRPr="00C40B0B" w:rsidRDefault="00C40B0B" w:rsidP="00C40B0B">
            <w:pPr>
              <w:spacing w:after="0" w:line="240" w:lineRule="auto"/>
              <w:jc w:val="center"/>
              <w:rPr>
                <w:rFonts w:ascii="Arial" w:eastAsia="Times New Roman" w:hAnsi="Arial" w:cs="Arial"/>
                <w:b/>
                <w:bCs/>
                <w:color w:val="FFFFFF"/>
                <w:kern w:val="0"/>
                <w:sz w:val="18"/>
                <w:szCs w:val="18"/>
                <w:lang w:eastAsia="es-MX"/>
                <w14:ligatures w14:val="none"/>
              </w:rPr>
            </w:pPr>
            <w:r w:rsidRPr="00C40B0B">
              <w:rPr>
                <w:rFonts w:ascii="Arial" w:eastAsia="Times New Roman" w:hAnsi="Arial" w:cs="Arial"/>
                <w:b/>
                <w:bCs/>
                <w:color w:val="FFFFFF"/>
                <w:kern w:val="0"/>
                <w:sz w:val="18"/>
                <w:szCs w:val="18"/>
                <w:lang w:eastAsia="es-MX"/>
                <w14:ligatures w14:val="none"/>
              </w:rPr>
              <w:t>Recaudado al 1er. trimestre de 2026</w:t>
            </w: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5E772750" w14:textId="77777777" w:rsidR="00C40B0B" w:rsidRPr="00C40B0B" w:rsidRDefault="00C40B0B" w:rsidP="00C40B0B">
            <w:pPr>
              <w:spacing w:after="0" w:line="240" w:lineRule="auto"/>
              <w:rPr>
                <w:rFonts w:ascii="Arial" w:eastAsia="Times New Roman" w:hAnsi="Arial" w:cs="Arial"/>
                <w:b/>
                <w:bCs/>
                <w:color w:val="FFFFFF"/>
                <w:kern w:val="0"/>
                <w:sz w:val="18"/>
                <w:szCs w:val="18"/>
                <w:lang w:eastAsia="es-MX"/>
                <w14:ligatures w14:val="none"/>
              </w:rPr>
            </w:pPr>
          </w:p>
        </w:tc>
      </w:tr>
      <w:tr w:rsidR="00C40B0B" w:rsidRPr="00C40B0B" w14:paraId="68767205" w14:textId="77777777" w:rsidTr="00AA60CC">
        <w:trPr>
          <w:trHeight w:val="131"/>
        </w:trPr>
        <w:tc>
          <w:tcPr>
            <w:tcW w:w="4390" w:type="dxa"/>
            <w:vMerge/>
            <w:tcBorders>
              <w:top w:val="single" w:sz="4" w:space="0" w:color="auto"/>
              <w:left w:val="single" w:sz="4" w:space="0" w:color="auto"/>
              <w:bottom w:val="single" w:sz="4" w:space="0" w:color="auto"/>
              <w:right w:val="single" w:sz="4" w:space="0" w:color="auto"/>
            </w:tcBorders>
            <w:vAlign w:val="center"/>
            <w:hideMark/>
          </w:tcPr>
          <w:p w14:paraId="645992A6" w14:textId="77777777" w:rsidR="00C40B0B" w:rsidRPr="00C40B0B" w:rsidRDefault="00C40B0B" w:rsidP="00C40B0B">
            <w:pPr>
              <w:spacing w:after="0" w:line="240" w:lineRule="auto"/>
              <w:rPr>
                <w:rFonts w:ascii="Arial" w:eastAsia="Times New Roman" w:hAnsi="Arial" w:cs="Arial"/>
                <w:b/>
                <w:bCs/>
                <w:color w:val="FFFFFF"/>
                <w:kern w:val="0"/>
                <w:sz w:val="18"/>
                <w:szCs w:val="18"/>
                <w:lang w:eastAsia="es-MX"/>
                <w14:ligatures w14:val="none"/>
              </w:rPr>
            </w:pPr>
          </w:p>
        </w:tc>
        <w:tc>
          <w:tcPr>
            <w:tcW w:w="1842" w:type="dxa"/>
            <w:tcBorders>
              <w:top w:val="nil"/>
              <w:left w:val="nil"/>
              <w:bottom w:val="single" w:sz="4" w:space="0" w:color="auto"/>
              <w:right w:val="single" w:sz="4" w:space="0" w:color="auto"/>
            </w:tcBorders>
            <w:shd w:val="clear" w:color="000000" w:fill="AB0033"/>
            <w:noWrap/>
            <w:vAlign w:val="bottom"/>
            <w:hideMark/>
          </w:tcPr>
          <w:p w14:paraId="5B5BE543" w14:textId="77777777" w:rsidR="00C40B0B" w:rsidRPr="00C40B0B" w:rsidRDefault="00C40B0B" w:rsidP="00C40B0B">
            <w:pPr>
              <w:spacing w:after="0" w:line="240" w:lineRule="auto"/>
              <w:jc w:val="center"/>
              <w:rPr>
                <w:rFonts w:ascii="Arial" w:eastAsia="Times New Roman" w:hAnsi="Arial" w:cs="Arial"/>
                <w:b/>
                <w:bCs/>
                <w:color w:val="FFFFFF"/>
                <w:kern w:val="0"/>
                <w:sz w:val="18"/>
                <w:szCs w:val="18"/>
                <w:lang w:eastAsia="es-MX"/>
                <w14:ligatures w14:val="none"/>
              </w:rPr>
            </w:pPr>
            <w:r w:rsidRPr="00C40B0B">
              <w:rPr>
                <w:rFonts w:ascii="Arial" w:eastAsia="Times New Roman" w:hAnsi="Arial" w:cs="Arial"/>
                <w:b/>
                <w:bCs/>
                <w:color w:val="FFFFFF"/>
                <w:kern w:val="0"/>
                <w:sz w:val="18"/>
                <w:szCs w:val="18"/>
                <w:lang w:eastAsia="es-MX"/>
                <w14:ligatures w14:val="none"/>
              </w:rPr>
              <w:t>Importe</w:t>
            </w:r>
          </w:p>
        </w:tc>
        <w:tc>
          <w:tcPr>
            <w:tcW w:w="2268" w:type="dxa"/>
            <w:tcBorders>
              <w:top w:val="nil"/>
              <w:left w:val="nil"/>
              <w:bottom w:val="single" w:sz="4" w:space="0" w:color="auto"/>
              <w:right w:val="single" w:sz="4" w:space="0" w:color="auto"/>
            </w:tcBorders>
            <w:shd w:val="clear" w:color="000000" w:fill="AB0033"/>
            <w:noWrap/>
            <w:vAlign w:val="bottom"/>
            <w:hideMark/>
          </w:tcPr>
          <w:p w14:paraId="6F7717F3" w14:textId="77777777" w:rsidR="00C40B0B" w:rsidRPr="00C40B0B" w:rsidRDefault="00C40B0B" w:rsidP="00C40B0B">
            <w:pPr>
              <w:spacing w:after="0" w:line="240" w:lineRule="auto"/>
              <w:jc w:val="center"/>
              <w:rPr>
                <w:rFonts w:ascii="Arial" w:eastAsia="Times New Roman" w:hAnsi="Arial" w:cs="Arial"/>
                <w:b/>
                <w:bCs/>
                <w:color w:val="FFFFFF"/>
                <w:kern w:val="0"/>
                <w:sz w:val="18"/>
                <w:szCs w:val="18"/>
                <w:lang w:eastAsia="es-MX"/>
                <w14:ligatures w14:val="none"/>
              </w:rPr>
            </w:pPr>
            <w:r w:rsidRPr="00C40B0B">
              <w:rPr>
                <w:rFonts w:ascii="Arial" w:eastAsia="Times New Roman" w:hAnsi="Arial" w:cs="Arial"/>
                <w:b/>
                <w:bCs/>
                <w:color w:val="FFFFFF"/>
                <w:kern w:val="0"/>
                <w:sz w:val="18"/>
                <w:szCs w:val="18"/>
                <w:lang w:eastAsia="es-MX"/>
                <w14:ligatures w14:val="none"/>
              </w:rPr>
              <w:t>Importe</w:t>
            </w:r>
          </w:p>
        </w:tc>
        <w:tc>
          <w:tcPr>
            <w:tcW w:w="993" w:type="dxa"/>
            <w:tcBorders>
              <w:top w:val="nil"/>
              <w:left w:val="nil"/>
              <w:bottom w:val="single" w:sz="4" w:space="0" w:color="auto"/>
              <w:right w:val="single" w:sz="4" w:space="0" w:color="auto"/>
            </w:tcBorders>
            <w:shd w:val="clear" w:color="000000" w:fill="AB0033"/>
            <w:noWrap/>
            <w:vAlign w:val="bottom"/>
            <w:hideMark/>
          </w:tcPr>
          <w:p w14:paraId="46DEB299" w14:textId="77777777" w:rsidR="00C40B0B" w:rsidRPr="00C40B0B" w:rsidRDefault="00C40B0B" w:rsidP="00C40B0B">
            <w:pPr>
              <w:spacing w:after="0" w:line="240" w:lineRule="auto"/>
              <w:jc w:val="center"/>
              <w:rPr>
                <w:rFonts w:ascii="Arial" w:eastAsia="Times New Roman" w:hAnsi="Arial" w:cs="Arial"/>
                <w:b/>
                <w:bCs/>
                <w:color w:val="FFFFFF"/>
                <w:kern w:val="0"/>
                <w:sz w:val="18"/>
                <w:szCs w:val="18"/>
                <w:lang w:eastAsia="es-MX"/>
                <w14:ligatures w14:val="none"/>
              </w:rPr>
            </w:pPr>
            <w:r w:rsidRPr="00C40B0B">
              <w:rPr>
                <w:rFonts w:ascii="Arial" w:eastAsia="Times New Roman" w:hAnsi="Arial" w:cs="Arial"/>
                <w:b/>
                <w:bCs/>
                <w:color w:val="FFFFFF"/>
                <w:kern w:val="0"/>
                <w:sz w:val="18"/>
                <w:szCs w:val="18"/>
                <w:lang w:eastAsia="es-MX"/>
                <w14:ligatures w14:val="none"/>
              </w:rPr>
              <w:t>%</w:t>
            </w:r>
          </w:p>
        </w:tc>
      </w:tr>
      <w:tr w:rsidR="00C40B0B" w:rsidRPr="00C40B0B" w14:paraId="54E85D3D" w14:textId="77777777" w:rsidTr="00AA60CC">
        <w:trPr>
          <w:trHeight w:val="206"/>
        </w:trPr>
        <w:tc>
          <w:tcPr>
            <w:tcW w:w="4390" w:type="dxa"/>
            <w:tcBorders>
              <w:top w:val="nil"/>
              <w:left w:val="single" w:sz="4" w:space="0" w:color="auto"/>
              <w:bottom w:val="single" w:sz="4" w:space="0" w:color="auto"/>
              <w:right w:val="single" w:sz="4" w:space="0" w:color="auto"/>
            </w:tcBorders>
            <w:shd w:val="clear" w:color="000000" w:fill="D9D9D9"/>
            <w:noWrap/>
            <w:vAlign w:val="bottom"/>
            <w:hideMark/>
          </w:tcPr>
          <w:p w14:paraId="23010CE0" w14:textId="77777777" w:rsidR="00C40B0B" w:rsidRPr="00C40B0B" w:rsidRDefault="00C40B0B" w:rsidP="00C40B0B">
            <w:pPr>
              <w:spacing w:after="0" w:line="240" w:lineRule="auto"/>
              <w:rPr>
                <w:rFonts w:ascii="Arial" w:eastAsia="Times New Roman" w:hAnsi="Arial" w:cs="Arial"/>
                <w:b/>
                <w:bCs/>
                <w:kern w:val="0"/>
                <w:sz w:val="18"/>
                <w:szCs w:val="18"/>
                <w:lang w:eastAsia="es-MX"/>
                <w14:ligatures w14:val="none"/>
              </w:rPr>
            </w:pPr>
            <w:r w:rsidRPr="00C40B0B">
              <w:rPr>
                <w:rFonts w:ascii="Arial" w:eastAsia="Times New Roman" w:hAnsi="Arial" w:cs="Arial"/>
                <w:b/>
                <w:bCs/>
                <w:kern w:val="0"/>
                <w:sz w:val="18"/>
                <w:szCs w:val="18"/>
                <w:lang w:eastAsia="es-MX"/>
                <w14:ligatures w14:val="none"/>
              </w:rPr>
              <w:t>Participaciones</w:t>
            </w:r>
          </w:p>
        </w:tc>
        <w:tc>
          <w:tcPr>
            <w:tcW w:w="1842" w:type="dxa"/>
            <w:tcBorders>
              <w:top w:val="nil"/>
              <w:left w:val="nil"/>
              <w:bottom w:val="single" w:sz="4" w:space="0" w:color="auto"/>
              <w:right w:val="single" w:sz="4" w:space="0" w:color="auto"/>
            </w:tcBorders>
            <w:shd w:val="clear" w:color="000000" w:fill="D9D9D9"/>
            <w:noWrap/>
            <w:vAlign w:val="bottom"/>
            <w:hideMark/>
          </w:tcPr>
          <w:p w14:paraId="7A57A5CB" w14:textId="77777777" w:rsidR="00C40B0B" w:rsidRPr="00C40B0B" w:rsidRDefault="00C40B0B" w:rsidP="00C40B0B">
            <w:pPr>
              <w:spacing w:after="0" w:line="240" w:lineRule="auto"/>
              <w:jc w:val="right"/>
              <w:rPr>
                <w:rFonts w:ascii="Arial" w:eastAsia="Times New Roman" w:hAnsi="Arial" w:cs="Arial"/>
                <w:b/>
                <w:bCs/>
                <w:kern w:val="0"/>
                <w:sz w:val="18"/>
                <w:szCs w:val="18"/>
                <w:lang w:eastAsia="es-MX"/>
                <w14:ligatures w14:val="none"/>
              </w:rPr>
            </w:pPr>
            <w:r w:rsidRPr="00C40B0B">
              <w:rPr>
                <w:rFonts w:ascii="Arial" w:eastAsia="Times New Roman" w:hAnsi="Arial" w:cs="Arial"/>
                <w:b/>
                <w:bCs/>
                <w:kern w:val="0"/>
                <w:sz w:val="18"/>
                <w:szCs w:val="18"/>
                <w:lang w:eastAsia="es-MX"/>
                <w14:ligatures w14:val="none"/>
              </w:rPr>
              <w:t>8,507,685,535.95</w:t>
            </w:r>
          </w:p>
        </w:tc>
        <w:tc>
          <w:tcPr>
            <w:tcW w:w="2268" w:type="dxa"/>
            <w:tcBorders>
              <w:top w:val="nil"/>
              <w:left w:val="nil"/>
              <w:bottom w:val="single" w:sz="4" w:space="0" w:color="auto"/>
              <w:right w:val="single" w:sz="4" w:space="0" w:color="auto"/>
            </w:tcBorders>
            <w:shd w:val="clear" w:color="000000" w:fill="D9D9D9"/>
            <w:noWrap/>
            <w:vAlign w:val="bottom"/>
            <w:hideMark/>
          </w:tcPr>
          <w:p w14:paraId="0F805456" w14:textId="77777777" w:rsidR="00C40B0B" w:rsidRPr="00C40B0B" w:rsidRDefault="00C40B0B" w:rsidP="00C40B0B">
            <w:pPr>
              <w:spacing w:after="0" w:line="240" w:lineRule="auto"/>
              <w:jc w:val="right"/>
              <w:rPr>
                <w:rFonts w:ascii="Arial" w:eastAsia="Times New Roman" w:hAnsi="Arial" w:cs="Arial"/>
                <w:b/>
                <w:bCs/>
                <w:kern w:val="0"/>
                <w:sz w:val="18"/>
                <w:szCs w:val="18"/>
                <w:lang w:eastAsia="es-MX"/>
                <w14:ligatures w14:val="none"/>
              </w:rPr>
            </w:pPr>
            <w:r w:rsidRPr="00C40B0B">
              <w:rPr>
                <w:rFonts w:ascii="Arial" w:eastAsia="Times New Roman" w:hAnsi="Arial" w:cs="Arial"/>
                <w:b/>
                <w:bCs/>
                <w:kern w:val="0"/>
                <w:sz w:val="18"/>
                <w:szCs w:val="18"/>
                <w:lang w:eastAsia="es-MX"/>
                <w14:ligatures w14:val="none"/>
              </w:rPr>
              <w:t>8,642,262,549.84</w:t>
            </w:r>
          </w:p>
        </w:tc>
        <w:tc>
          <w:tcPr>
            <w:tcW w:w="993" w:type="dxa"/>
            <w:tcBorders>
              <w:top w:val="nil"/>
              <w:left w:val="nil"/>
              <w:bottom w:val="single" w:sz="4" w:space="0" w:color="auto"/>
              <w:right w:val="single" w:sz="4" w:space="0" w:color="auto"/>
            </w:tcBorders>
            <w:shd w:val="clear" w:color="000000" w:fill="D9D9D9"/>
            <w:noWrap/>
            <w:vAlign w:val="bottom"/>
            <w:hideMark/>
          </w:tcPr>
          <w:p w14:paraId="493016D2" w14:textId="77777777" w:rsidR="00C40B0B" w:rsidRPr="00C40B0B" w:rsidRDefault="00C40B0B" w:rsidP="00C40B0B">
            <w:pPr>
              <w:spacing w:after="0" w:line="240" w:lineRule="auto"/>
              <w:jc w:val="right"/>
              <w:rPr>
                <w:rFonts w:ascii="Arial" w:eastAsia="Times New Roman" w:hAnsi="Arial" w:cs="Arial"/>
                <w:b/>
                <w:bCs/>
                <w:kern w:val="0"/>
                <w:sz w:val="18"/>
                <w:szCs w:val="18"/>
                <w:lang w:eastAsia="es-MX"/>
                <w14:ligatures w14:val="none"/>
              </w:rPr>
            </w:pPr>
            <w:r w:rsidRPr="00C40B0B">
              <w:rPr>
                <w:rFonts w:ascii="Arial" w:eastAsia="Times New Roman" w:hAnsi="Arial" w:cs="Arial"/>
                <w:b/>
                <w:bCs/>
                <w:kern w:val="0"/>
                <w:sz w:val="18"/>
                <w:szCs w:val="18"/>
                <w:lang w:eastAsia="es-MX"/>
                <w14:ligatures w14:val="none"/>
              </w:rPr>
              <w:t>101.58%</w:t>
            </w:r>
          </w:p>
        </w:tc>
      </w:tr>
      <w:tr w:rsidR="00C40B0B" w:rsidRPr="00C40B0B" w14:paraId="689C1C2E" w14:textId="77777777" w:rsidTr="00AA60CC">
        <w:trPr>
          <w:trHeight w:val="82"/>
        </w:trPr>
        <w:tc>
          <w:tcPr>
            <w:tcW w:w="4390" w:type="dxa"/>
            <w:tcBorders>
              <w:top w:val="nil"/>
              <w:left w:val="single" w:sz="4" w:space="0" w:color="auto"/>
              <w:bottom w:val="single" w:sz="4" w:space="0" w:color="auto"/>
              <w:right w:val="single" w:sz="4" w:space="0" w:color="auto"/>
            </w:tcBorders>
            <w:noWrap/>
            <w:vAlign w:val="bottom"/>
            <w:hideMark/>
          </w:tcPr>
          <w:p w14:paraId="714DDD07"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Fondo General de Participaciones</w:t>
            </w:r>
          </w:p>
        </w:tc>
        <w:tc>
          <w:tcPr>
            <w:tcW w:w="1842" w:type="dxa"/>
            <w:tcBorders>
              <w:top w:val="nil"/>
              <w:left w:val="nil"/>
              <w:bottom w:val="single" w:sz="4" w:space="0" w:color="auto"/>
              <w:right w:val="single" w:sz="4" w:space="0" w:color="auto"/>
            </w:tcBorders>
            <w:noWrap/>
            <w:vAlign w:val="bottom"/>
            <w:hideMark/>
          </w:tcPr>
          <w:p w14:paraId="532536A6"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6,676,006,588.86</w:t>
            </w:r>
          </w:p>
        </w:tc>
        <w:tc>
          <w:tcPr>
            <w:tcW w:w="2268" w:type="dxa"/>
            <w:tcBorders>
              <w:top w:val="nil"/>
              <w:left w:val="nil"/>
              <w:bottom w:val="single" w:sz="4" w:space="0" w:color="auto"/>
              <w:right w:val="single" w:sz="4" w:space="0" w:color="auto"/>
            </w:tcBorders>
            <w:noWrap/>
            <w:vAlign w:val="bottom"/>
            <w:hideMark/>
          </w:tcPr>
          <w:p w14:paraId="55AE67BA"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 xml:space="preserve">        6,484,521,056.00 </w:t>
            </w:r>
          </w:p>
        </w:tc>
        <w:tc>
          <w:tcPr>
            <w:tcW w:w="993" w:type="dxa"/>
            <w:tcBorders>
              <w:top w:val="nil"/>
              <w:left w:val="nil"/>
              <w:bottom w:val="single" w:sz="4" w:space="0" w:color="auto"/>
              <w:right w:val="single" w:sz="4" w:space="0" w:color="auto"/>
            </w:tcBorders>
            <w:noWrap/>
            <w:vAlign w:val="bottom"/>
            <w:hideMark/>
          </w:tcPr>
          <w:p w14:paraId="1ECE3A37"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97.13%</w:t>
            </w:r>
          </w:p>
        </w:tc>
      </w:tr>
      <w:tr w:rsidR="00C40B0B" w:rsidRPr="00C40B0B" w14:paraId="2AAD5373" w14:textId="77777777" w:rsidTr="00AA60CC">
        <w:trPr>
          <w:trHeight w:val="60"/>
        </w:trPr>
        <w:tc>
          <w:tcPr>
            <w:tcW w:w="4390" w:type="dxa"/>
            <w:tcBorders>
              <w:top w:val="nil"/>
              <w:left w:val="single" w:sz="4" w:space="0" w:color="auto"/>
              <w:bottom w:val="single" w:sz="4" w:space="0" w:color="auto"/>
              <w:right w:val="single" w:sz="4" w:space="0" w:color="auto"/>
            </w:tcBorders>
            <w:shd w:val="clear" w:color="000000" w:fill="D9D9D9"/>
            <w:noWrap/>
            <w:vAlign w:val="bottom"/>
            <w:hideMark/>
          </w:tcPr>
          <w:p w14:paraId="47F20680"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Fondo de Fomento Municipal</w:t>
            </w:r>
          </w:p>
        </w:tc>
        <w:tc>
          <w:tcPr>
            <w:tcW w:w="1842" w:type="dxa"/>
            <w:tcBorders>
              <w:top w:val="nil"/>
              <w:left w:val="nil"/>
              <w:bottom w:val="single" w:sz="4" w:space="0" w:color="auto"/>
              <w:right w:val="single" w:sz="4" w:space="0" w:color="auto"/>
            </w:tcBorders>
            <w:shd w:val="clear" w:color="000000" w:fill="D9D9D9"/>
            <w:noWrap/>
            <w:vAlign w:val="bottom"/>
            <w:hideMark/>
          </w:tcPr>
          <w:p w14:paraId="2AF024A8"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283,403,903.32</w:t>
            </w:r>
          </w:p>
        </w:tc>
        <w:tc>
          <w:tcPr>
            <w:tcW w:w="2268" w:type="dxa"/>
            <w:tcBorders>
              <w:top w:val="nil"/>
              <w:left w:val="nil"/>
              <w:bottom w:val="single" w:sz="4" w:space="0" w:color="auto"/>
              <w:right w:val="single" w:sz="4" w:space="0" w:color="auto"/>
            </w:tcBorders>
            <w:shd w:val="clear" w:color="000000" w:fill="D9D9D9"/>
            <w:noWrap/>
            <w:vAlign w:val="bottom"/>
            <w:hideMark/>
          </w:tcPr>
          <w:p w14:paraId="59BB17CC"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 xml:space="preserve">          </w:t>
            </w:r>
            <w:bookmarkStart w:id="23" w:name="_Hlk227574437"/>
            <w:r w:rsidRPr="00C40B0B">
              <w:rPr>
                <w:rFonts w:ascii="Arial" w:eastAsia="Times New Roman" w:hAnsi="Arial" w:cs="Arial"/>
                <w:kern w:val="0"/>
                <w:sz w:val="18"/>
                <w:szCs w:val="18"/>
                <w:lang w:eastAsia="es-MX"/>
                <w14:ligatures w14:val="none"/>
              </w:rPr>
              <w:t xml:space="preserve">270,552,830.00 </w:t>
            </w:r>
            <w:bookmarkEnd w:id="23"/>
          </w:p>
        </w:tc>
        <w:tc>
          <w:tcPr>
            <w:tcW w:w="993" w:type="dxa"/>
            <w:tcBorders>
              <w:top w:val="nil"/>
              <w:left w:val="nil"/>
              <w:bottom w:val="single" w:sz="4" w:space="0" w:color="auto"/>
              <w:right w:val="single" w:sz="4" w:space="0" w:color="auto"/>
            </w:tcBorders>
            <w:shd w:val="clear" w:color="000000" w:fill="D9D9D9"/>
            <w:noWrap/>
            <w:vAlign w:val="bottom"/>
            <w:hideMark/>
          </w:tcPr>
          <w:p w14:paraId="798CD3FC"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95.47%</w:t>
            </w:r>
          </w:p>
        </w:tc>
      </w:tr>
      <w:tr w:rsidR="00C40B0B" w:rsidRPr="00C40B0B" w14:paraId="149180DB" w14:textId="77777777" w:rsidTr="00AA60CC">
        <w:trPr>
          <w:trHeight w:val="116"/>
        </w:trPr>
        <w:tc>
          <w:tcPr>
            <w:tcW w:w="4390" w:type="dxa"/>
            <w:tcBorders>
              <w:top w:val="nil"/>
              <w:left w:val="single" w:sz="4" w:space="0" w:color="auto"/>
              <w:bottom w:val="single" w:sz="4" w:space="0" w:color="auto"/>
              <w:right w:val="single" w:sz="4" w:space="0" w:color="auto"/>
            </w:tcBorders>
            <w:noWrap/>
            <w:vAlign w:val="bottom"/>
            <w:hideMark/>
          </w:tcPr>
          <w:p w14:paraId="566721A4"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Fondo de Fiscalización y Recaudación</w:t>
            </w:r>
          </w:p>
        </w:tc>
        <w:tc>
          <w:tcPr>
            <w:tcW w:w="1842" w:type="dxa"/>
            <w:tcBorders>
              <w:top w:val="nil"/>
              <w:left w:val="nil"/>
              <w:bottom w:val="single" w:sz="4" w:space="0" w:color="auto"/>
              <w:right w:val="single" w:sz="4" w:space="0" w:color="auto"/>
            </w:tcBorders>
            <w:noWrap/>
            <w:vAlign w:val="bottom"/>
            <w:hideMark/>
          </w:tcPr>
          <w:p w14:paraId="4D8279A1"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267,024,653.93</w:t>
            </w:r>
          </w:p>
        </w:tc>
        <w:tc>
          <w:tcPr>
            <w:tcW w:w="2268" w:type="dxa"/>
            <w:tcBorders>
              <w:top w:val="nil"/>
              <w:left w:val="nil"/>
              <w:bottom w:val="single" w:sz="4" w:space="0" w:color="auto"/>
              <w:right w:val="single" w:sz="4" w:space="0" w:color="auto"/>
            </w:tcBorders>
            <w:noWrap/>
            <w:vAlign w:val="bottom"/>
            <w:hideMark/>
          </w:tcPr>
          <w:p w14:paraId="2180E24B"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 xml:space="preserve">          220,638,680.24 </w:t>
            </w:r>
          </w:p>
        </w:tc>
        <w:tc>
          <w:tcPr>
            <w:tcW w:w="993" w:type="dxa"/>
            <w:tcBorders>
              <w:top w:val="nil"/>
              <w:left w:val="nil"/>
              <w:bottom w:val="single" w:sz="4" w:space="0" w:color="auto"/>
              <w:right w:val="single" w:sz="4" w:space="0" w:color="auto"/>
            </w:tcBorders>
            <w:noWrap/>
            <w:vAlign w:val="bottom"/>
            <w:hideMark/>
          </w:tcPr>
          <w:p w14:paraId="687611B0"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82.63%</w:t>
            </w:r>
          </w:p>
        </w:tc>
      </w:tr>
      <w:tr w:rsidR="00C40B0B" w:rsidRPr="00C40B0B" w14:paraId="7CB732AC" w14:textId="77777777" w:rsidTr="00AA60CC">
        <w:trPr>
          <w:trHeight w:val="190"/>
        </w:trPr>
        <w:tc>
          <w:tcPr>
            <w:tcW w:w="4390" w:type="dxa"/>
            <w:tcBorders>
              <w:top w:val="nil"/>
              <w:left w:val="single" w:sz="4" w:space="0" w:color="auto"/>
              <w:bottom w:val="single" w:sz="4" w:space="0" w:color="auto"/>
              <w:right w:val="single" w:sz="4" w:space="0" w:color="auto"/>
            </w:tcBorders>
            <w:shd w:val="clear" w:color="000000" w:fill="D9D9D9"/>
            <w:noWrap/>
            <w:vAlign w:val="bottom"/>
            <w:hideMark/>
          </w:tcPr>
          <w:p w14:paraId="2D0904F6"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Fondo de Compensación</w:t>
            </w:r>
          </w:p>
        </w:tc>
        <w:tc>
          <w:tcPr>
            <w:tcW w:w="1842" w:type="dxa"/>
            <w:tcBorders>
              <w:top w:val="nil"/>
              <w:left w:val="nil"/>
              <w:bottom w:val="single" w:sz="4" w:space="0" w:color="auto"/>
              <w:right w:val="single" w:sz="4" w:space="0" w:color="auto"/>
            </w:tcBorders>
            <w:shd w:val="clear" w:color="000000" w:fill="D9D9D9"/>
            <w:noWrap/>
            <w:vAlign w:val="bottom"/>
            <w:hideMark/>
          </w:tcPr>
          <w:p w14:paraId="4E101C12"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241,595,338.44</w:t>
            </w:r>
          </w:p>
        </w:tc>
        <w:tc>
          <w:tcPr>
            <w:tcW w:w="2268" w:type="dxa"/>
            <w:tcBorders>
              <w:top w:val="nil"/>
              <w:left w:val="nil"/>
              <w:bottom w:val="single" w:sz="4" w:space="0" w:color="auto"/>
              <w:right w:val="single" w:sz="4" w:space="0" w:color="auto"/>
            </w:tcBorders>
            <w:shd w:val="clear" w:color="000000" w:fill="D9D9D9"/>
            <w:noWrap/>
            <w:vAlign w:val="bottom"/>
            <w:hideMark/>
          </w:tcPr>
          <w:p w14:paraId="5B11BC0C"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 xml:space="preserve">          181,050,331.57 </w:t>
            </w:r>
          </w:p>
        </w:tc>
        <w:tc>
          <w:tcPr>
            <w:tcW w:w="993" w:type="dxa"/>
            <w:tcBorders>
              <w:top w:val="nil"/>
              <w:left w:val="nil"/>
              <w:bottom w:val="single" w:sz="4" w:space="0" w:color="auto"/>
              <w:right w:val="single" w:sz="4" w:space="0" w:color="auto"/>
            </w:tcBorders>
            <w:shd w:val="clear" w:color="000000" w:fill="D9D9D9"/>
            <w:noWrap/>
            <w:vAlign w:val="bottom"/>
            <w:hideMark/>
          </w:tcPr>
          <w:p w14:paraId="52680C93"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74.94%</w:t>
            </w:r>
          </w:p>
        </w:tc>
      </w:tr>
      <w:tr w:rsidR="00C40B0B" w:rsidRPr="00C40B0B" w14:paraId="6516A5DF" w14:textId="77777777" w:rsidTr="00AA60CC">
        <w:trPr>
          <w:trHeight w:val="108"/>
        </w:trPr>
        <w:tc>
          <w:tcPr>
            <w:tcW w:w="4390" w:type="dxa"/>
            <w:tcBorders>
              <w:top w:val="nil"/>
              <w:left w:val="single" w:sz="4" w:space="0" w:color="auto"/>
              <w:bottom w:val="single" w:sz="4" w:space="0" w:color="auto"/>
              <w:right w:val="single" w:sz="4" w:space="0" w:color="auto"/>
            </w:tcBorders>
            <w:noWrap/>
            <w:vAlign w:val="bottom"/>
            <w:hideMark/>
          </w:tcPr>
          <w:p w14:paraId="1B1FF76F"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Impuesto Especial Sobre Producción y Servicios</w:t>
            </w:r>
          </w:p>
        </w:tc>
        <w:tc>
          <w:tcPr>
            <w:tcW w:w="1842" w:type="dxa"/>
            <w:tcBorders>
              <w:top w:val="nil"/>
              <w:left w:val="nil"/>
              <w:bottom w:val="single" w:sz="4" w:space="0" w:color="auto"/>
              <w:right w:val="single" w:sz="4" w:space="0" w:color="auto"/>
            </w:tcBorders>
            <w:noWrap/>
            <w:vAlign w:val="bottom"/>
            <w:hideMark/>
          </w:tcPr>
          <w:p w14:paraId="3464160C"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81,138,483.32</w:t>
            </w:r>
          </w:p>
        </w:tc>
        <w:tc>
          <w:tcPr>
            <w:tcW w:w="2268" w:type="dxa"/>
            <w:tcBorders>
              <w:top w:val="nil"/>
              <w:left w:val="nil"/>
              <w:bottom w:val="single" w:sz="4" w:space="0" w:color="auto"/>
              <w:right w:val="single" w:sz="4" w:space="0" w:color="auto"/>
            </w:tcBorders>
            <w:noWrap/>
            <w:vAlign w:val="bottom"/>
            <w:hideMark/>
          </w:tcPr>
          <w:p w14:paraId="7EAE9117"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 xml:space="preserve">            78,149,799.56 </w:t>
            </w:r>
          </w:p>
        </w:tc>
        <w:tc>
          <w:tcPr>
            <w:tcW w:w="993" w:type="dxa"/>
            <w:tcBorders>
              <w:top w:val="nil"/>
              <w:left w:val="nil"/>
              <w:bottom w:val="single" w:sz="4" w:space="0" w:color="auto"/>
              <w:right w:val="single" w:sz="4" w:space="0" w:color="auto"/>
            </w:tcBorders>
            <w:noWrap/>
            <w:vAlign w:val="bottom"/>
            <w:hideMark/>
          </w:tcPr>
          <w:p w14:paraId="0A010B2E"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96.32%</w:t>
            </w:r>
          </w:p>
        </w:tc>
      </w:tr>
      <w:tr w:rsidR="00C40B0B" w:rsidRPr="00C40B0B" w14:paraId="6B38661A" w14:textId="77777777" w:rsidTr="00AA60CC">
        <w:trPr>
          <w:trHeight w:val="182"/>
        </w:trPr>
        <w:tc>
          <w:tcPr>
            <w:tcW w:w="4390" w:type="dxa"/>
            <w:tcBorders>
              <w:top w:val="nil"/>
              <w:left w:val="single" w:sz="4" w:space="0" w:color="auto"/>
              <w:bottom w:val="single" w:sz="4" w:space="0" w:color="auto"/>
              <w:right w:val="single" w:sz="4" w:space="0" w:color="auto"/>
            </w:tcBorders>
            <w:shd w:val="clear" w:color="000000" w:fill="D9D9D9"/>
            <w:noWrap/>
            <w:vAlign w:val="bottom"/>
            <w:hideMark/>
          </w:tcPr>
          <w:p w14:paraId="30E644C3"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 xml:space="preserve">Gasolina y Diésel </w:t>
            </w:r>
          </w:p>
        </w:tc>
        <w:tc>
          <w:tcPr>
            <w:tcW w:w="1842" w:type="dxa"/>
            <w:tcBorders>
              <w:top w:val="nil"/>
              <w:left w:val="nil"/>
              <w:bottom w:val="single" w:sz="4" w:space="0" w:color="auto"/>
              <w:right w:val="single" w:sz="4" w:space="0" w:color="auto"/>
            </w:tcBorders>
            <w:shd w:val="clear" w:color="000000" w:fill="D9D9D9"/>
            <w:noWrap/>
            <w:vAlign w:val="bottom"/>
            <w:hideMark/>
          </w:tcPr>
          <w:p w14:paraId="0CE8C422"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169,856,119.52</w:t>
            </w:r>
          </w:p>
        </w:tc>
        <w:tc>
          <w:tcPr>
            <w:tcW w:w="2268" w:type="dxa"/>
            <w:tcBorders>
              <w:top w:val="nil"/>
              <w:left w:val="nil"/>
              <w:bottom w:val="single" w:sz="4" w:space="0" w:color="auto"/>
              <w:right w:val="single" w:sz="4" w:space="0" w:color="auto"/>
            </w:tcBorders>
            <w:shd w:val="clear" w:color="000000" w:fill="D9D9D9"/>
            <w:noWrap/>
            <w:vAlign w:val="bottom"/>
            <w:hideMark/>
          </w:tcPr>
          <w:p w14:paraId="58B91747"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 xml:space="preserve">          144,615,934.12 </w:t>
            </w:r>
          </w:p>
        </w:tc>
        <w:tc>
          <w:tcPr>
            <w:tcW w:w="993" w:type="dxa"/>
            <w:tcBorders>
              <w:top w:val="nil"/>
              <w:left w:val="nil"/>
              <w:bottom w:val="single" w:sz="4" w:space="0" w:color="auto"/>
              <w:right w:val="single" w:sz="4" w:space="0" w:color="auto"/>
            </w:tcBorders>
            <w:shd w:val="clear" w:color="000000" w:fill="D9D9D9"/>
            <w:noWrap/>
            <w:vAlign w:val="bottom"/>
            <w:hideMark/>
          </w:tcPr>
          <w:p w14:paraId="4FBEF135"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85.14%</w:t>
            </w:r>
          </w:p>
        </w:tc>
      </w:tr>
      <w:tr w:rsidR="00C40B0B" w:rsidRPr="00C40B0B" w14:paraId="4DCCBCD2" w14:textId="77777777" w:rsidTr="00AA60CC">
        <w:trPr>
          <w:trHeight w:val="99"/>
        </w:trPr>
        <w:tc>
          <w:tcPr>
            <w:tcW w:w="4390" w:type="dxa"/>
            <w:tcBorders>
              <w:top w:val="nil"/>
              <w:left w:val="single" w:sz="4" w:space="0" w:color="auto"/>
              <w:bottom w:val="single" w:sz="4" w:space="0" w:color="auto"/>
              <w:right w:val="single" w:sz="4" w:space="0" w:color="auto"/>
            </w:tcBorders>
            <w:noWrap/>
            <w:vAlign w:val="bottom"/>
            <w:hideMark/>
          </w:tcPr>
          <w:p w14:paraId="6DB1EA34"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Fondo del Impuesto Sobre la Renta</w:t>
            </w:r>
          </w:p>
        </w:tc>
        <w:tc>
          <w:tcPr>
            <w:tcW w:w="1842" w:type="dxa"/>
            <w:tcBorders>
              <w:top w:val="nil"/>
              <w:left w:val="nil"/>
              <w:bottom w:val="single" w:sz="4" w:space="0" w:color="auto"/>
              <w:right w:val="single" w:sz="4" w:space="0" w:color="auto"/>
            </w:tcBorders>
            <w:noWrap/>
            <w:vAlign w:val="bottom"/>
            <w:hideMark/>
          </w:tcPr>
          <w:p w14:paraId="5D72C958"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642,660,436.86</w:t>
            </w:r>
          </w:p>
        </w:tc>
        <w:tc>
          <w:tcPr>
            <w:tcW w:w="2268" w:type="dxa"/>
            <w:tcBorders>
              <w:top w:val="nil"/>
              <w:left w:val="nil"/>
              <w:bottom w:val="single" w:sz="4" w:space="0" w:color="auto"/>
              <w:right w:val="single" w:sz="4" w:space="0" w:color="auto"/>
            </w:tcBorders>
            <w:noWrap/>
            <w:vAlign w:val="bottom"/>
            <w:hideMark/>
          </w:tcPr>
          <w:p w14:paraId="17A329EF"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 xml:space="preserve">        1,174,363,598.33 </w:t>
            </w:r>
          </w:p>
        </w:tc>
        <w:tc>
          <w:tcPr>
            <w:tcW w:w="993" w:type="dxa"/>
            <w:tcBorders>
              <w:top w:val="nil"/>
              <w:left w:val="nil"/>
              <w:bottom w:val="single" w:sz="4" w:space="0" w:color="auto"/>
              <w:right w:val="single" w:sz="4" w:space="0" w:color="auto"/>
            </w:tcBorders>
            <w:noWrap/>
            <w:vAlign w:val="bottom"/>
            <w:hideMark/>
          </w:tcPr>
          <w:p w14:paraId="698C7E0E"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182.73%</w:t>
            </w:r>
          </w:p>
        </w:tc>
      </w:tr>
      <w:tr w:rsidR="00C40B0B" w:rsidRPr="00C40B0B" w14:paraId="4E8CCBA0" w14:textId="77777777" w:rsidTr="00AA60CC">
        <w:trPr>
          <w:trHeight w:val="160"/>
        </w:trPr>
        <w:tc>
          <w:tcPr>
            <w:tcW w:w="4390" w:type="dxa"/>
            <w:tcBorders>
              <w:top w:val="nil"/>
              <w:left w:val="single" w:sz="4" w:space="0" w:color="auto"/>
              <w:bottom w:val="single" w:sz="4" w:space="0" w:color="auto"/>
              <w:right w:val="single" w:sz="4" w:space="0" w:color="auto"/>
            </w:tcBorders>
            <w:shd w:val="clear" w:color="000000" w:fill="D9D9D9"/>
            <w:noWrap/>
            <w:vAlign w:val="bottom"/>
            <w:hideMark/>
          </w:tcPr>
          <w:p w14:paraId="4274A70B" w14:textId="77777777" w:rsidR="00C40B0B" w:rsidRPr="00C40B0B" w:rsidRDefault="00C40B0B" w:rsidP="00C40B0B">
            <w:pPr>
              <w:spacing w:after="0" w:line="240" w:lineRule="auto"/>
              <w:rPr>
                <w:rFonts w:ascii="Arial" w:eastAsia="Times New Roman" w:hAnsi="Arial" w:cs="Arial"/>
                <w:b/>
                <w:bCs/>
                <w:kern w:val="0"/>
                <w:sz w:val="18"/>
                <w:szCs w:val="18"/>
                <w:lang w:eastAsia="es-MX"/>
                <w14:ligatures w14:val="none"/>
              </w:rPr>
            </w:pPr>
            <w:r w:rsidRPr="00C40B0B">
              <w:rPr>
                <w:rFonts w:ascii="Arial" w:eastAsia="Times New Roman" w:hAnsi="Arial" w:cs="Arial"/>
                <w:b/>
                <w:bCs/>
                <w:kern w:val="0"/>
                <w:sz w:val="18"/>
                <w:szCs w:val="18"/>
                <w:lang w:eastAsia="es-MX"/>
                <w14:ligatures w14:val="none"/>
              </w:rPr>
              <w:t>Incentivos Económicos:</w:t>
            </w:r>
          </w:p>
        </w:tc>
        <w:tc>
          <w:tcPr>
            <w:tcW w:w="1842" w:type="dxa"/>
            <w:tcBorders>
              <w:top w:val="nil"/>
              <w:left w:val="nil"/>
              <w:bottom w:val="single" w:sz="4" w:space="0" w:color="auto"/>
              <w:right w:val="single" w:sz="4" w:space="0" w:color="auto"/>
            </w:tcBorders>
            <w:shd w:val="clear" w:color="000000" w:fill="D9D9D9"/>
            <w:noWrap/>
            <w:vAlign w:val="bottom"/>
            <w:hideMark/>
          </w:tcPr>
          <w:p w14:paraId="10393A46" w14:textId="77777777" w:rsidR="00C40B0B" w:rsidRPr="00C40B0B" w:rsidRDefault="00C40B0B" w:rsidP="00C40B0B">
            <w:pPr>
              <w:spacing w:after="0" w:line="240" w:lineRule="auto"/>
              <w:jc w:val="right"/>
              <w:rPr>
                <w:rFonts w:ascii="Arial" w:eastAsia="Times New Roman" w:hAnsi="Arial" w:cs="Arial"/>
                <w:b/>
                <w:bCs/>
                <w:kern w:val="0"/>
                <w:sz w:val="18"/>
                <w:szCs w:val="18"/>
                <w:lang w:eastAsia="es-MX"/>
                <w14:ligatures w14:val="none"/>
              </w:rPr>
            </w:pPr>
            <w:r w:rsidRPr="00C40B0B">
              <w:rPr>
                <w:rFonts w:ascii="Arial" w:eastAsia="Times New Roman" w:hAnsi="Arial" w:cs="Arial"/>
                <w:b/>
                <w:bCs/>
                <w:kern w:val="0"/>
                <w:sz w:val="18"/>
                <w:szCs w:val="18"/>
                <w:lang w:eastAsia="es-MX"/>
                <w14:ligatures w14:val="none"/>
              </w:rPr>
              <w:t>146,000,011.70</w:t>
            </w:r>
          </w:p>
        </w:tc>
        <w:tc>
          <w:tcPr>
            <w:tcW w:w="2268" w:type="dxa"/>
            <w:tcBorders>
              <w:top w:val="nil"/>
              <w:left w:val="nil"/>
              <w:bottom w:val="single" w:sz="4" w:space="0" w:color="auto"/>
              <w:right w:val="single" w:sz="4" w:space="0" w:color="auto"/>
            </w:tcBorders>
            <w:shd w:val="clear" w:color="000000" w:fill="D9D9D9"/>
            <w:noWrap/>
            <w:vAlign w:val="bottom"/>
            <w:hideMark/>
          </w:tcPr>
          <w:p w14:paraId="7E7D4AC5" w14:textId="77777777" w:rsidR="00C40B0B" w:rsidRPr="00C40B0B" w:rsidRDefault="00C40B0B" w:rsidP="00C40B0B">
            <w:pPr>
              <w:spacing w:after="0" w:line="240" w:lineRule="auto"/>
              <w:jc w:val="right"/>
              <w:rPr>
                <w:rFonts w:ascii="Arial" w:eastAsia="Times New Roman" w:hAnsi="Arial" w:cs="Arial"/>
                <w:b/>
                <w:bCs/>
                <w:kern w:val="0"/>
                <w:sz w:val="18"/>
                <w:szCs w:val="18"/>
                <w:lang w:eastAsia="es-MX"/>
                <w14:ligatures w14:val="none"/>
              </w:rPr>
            </w:pPr>
            <w:r w:rsidRPr="00C40B0B">
              <w:rPr>
                <w:rFonts w:ascii="Arial" w:eastAsia="Times New Roman" w:hAnsi="Arial" w:cs="Arial"/>
                <w:b/>
                <w:bCs/>
                <w:kern w:val="0"/>
                <w:sz w:val="18"/>
                <w:szCs w:val="18"/>
                <w:lang w:eastAsia="es-MX"/>
                <w14:ligatures w14:val="none"/>
              </w:rPr>
              <w:t>88,370,320.02</w:t>
            </w:r>
          </w:p>
        </w:tc>
        <w:tc>
          <w:tcPr>
            <w:tcW w:w="993" w:type="dxa"/>
            <w:tcBorders>
              <w:top w:val="nil"/>
              <w:left w:val="nil"/>
              <w:bottom w:val="single" w:sz="4" w:space="0" w:color="auto"/>
              <w:right w:val="single" w:sz="4" w:space="0" w:color="auto"/>
            </w:tcBorders>
            <w:shd w:val="clear" w:color="000000" w:fill="D9D9D9"/>
            <w:noWrap/>
            <w:vAlign w:val="bottom"/>
            <w:hideMark/>
          </w:tcPr>
          <w:p w14:paraId="27AA6260" w14:textId="77777777" w:rsidR="00C40B0B" w:rsidRPr="00C40B0B" w:rsidRDefault="00C40B0B" w:rsidP="00C40B0B">
            <w:pPr>
              <w:spacing w:after="0" w:line="240" w:lineRule="auto"/>
              <w:jc w:val="right"/>
              <w:rPr>
                <w:rFonts w:ascii="Arial" w:eastAsia="Times New Roman" w:hAnsi="Arial" w:cs="Arial"/>
                <w:b/>
                <w:bCs/>
                <w:kern w:val="0"/>
                <w:sz w:val="18"/>
                <w:szCs w:val="18"/>
                <w:lang w:eastAsia="es-MX"/>
                <w14:ligatures w14:val="none"/>
              </w:rPr>
            </w:pPr>
            <w:r w:rsidRPr="00C40B0B">
              <w:rPr>
                <w:rFonts w:ascii="Arial" w:eastAsia="Times New Roman" w:hAnsi="Arial" w:cs="Arial"/>
                <w:b/>
                <w:bCs/>
                <w:kern w:val="0"/>
                <w:sz w:val="18"/>
                <w:szCs w:val="18"/>
                <w:lang w:eastAsia="es-MX"/>
                <w14:ligatures w14:val="none"/>
              </w:rPr>
              <w:t>60.53%</w:t>
            </w:r>
          </w:p>
        </w:tc>
      </w:tr>
      <w:tr w:rsidR="00C40B0B" w:rsidRPr="00C40B0B" w14:paraId="0FB08944" w14:textId="77777777" w:rsidTr="00AA60CC">
        <w:trPr>
          <w:trHeight w:val="92"/>
        </w:trPr>
        <w:tc>
          <w:tcPr>
            <w:tcW w:w="4390" w:type="dxa"/>
            <w:tcBorders>
              <w:top w:val="nil"/>
              <w:left w:val="single" w:sz="4" w:space="0" w:color="auto"/>
              <w:bottom w:val="single" w:sz="4" w:space="0" w:color="auto"/>
              <w:right w:val="single" w:sz="4" w:space="0" w:color="auto"/>
            </w:tcBorders>
            <w:noWrap/>
            <w:vAlign w:val="bottom"/>
            <w:hideMark/>
          </w:tcPr>
          <w:p w14:paraId="0A6C8F4C"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Fondo de Compensación de ISAN</w:t>
            </w:r>
          </w:p>
        </w:tc>
        <w:tc>
          <w:tcPr>
            <w:tcW w:w="1842" w:type="dxa"/>
            <w:tcBorders>
              <w:top w:val="nil"/>
              <w:left w:val="nil"/>
              <w:bottom w:val="single" w:sz="4" w:space="0" w:color="auto"/>
              <w:right w:val="single" w:sz="4" w:space="0" w:color="auto"/>
            </w:tcBorders>
            <w:noWrap/>
            <w:vAlign w:val="bottom"/>
            <w:hideMark/>
          </w:tcPr>
          <w:p w14:paraId="01C205BE"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8,224,607.85</w:t>
            </w:r>
          </w:p>
        </w:tc>
        <w:tc>
          <w:tcPr>
            <w:tcW w:w="2268" w:type="dxa"/>
            <w:tcBorders>
              <w:top w:val="nil"/>
              <w:left w:val="nil"/>
              <w:bottom w:val="single" w:sz="4" w:space="0" w:color="auto"/>
              <w:right w:val="single" w:sz="4" w:space="0" w:color="auto"/>
            </w:tcBorders>
            <w:noWrap/>
            <w:vAlign w:val="bottom"/>
            <w:hideMark/>
          </w:tcPr>
          <w:p w14:paraId="0B63072B"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 xml:space="preserve">              7,939,843.63 </w:t>
            </w:r>
          </w:p>
        </w:tc>
        <w:tc>
          <w:tcPr>
            <w:tcW w:w="993" w:type="dxa"/>
            <w:tcBorders>
              <w:top w:val="nil"/>
              <w:left w:val="nil"/>
              <w:bottom w:val="single" w:sz="4" w:space="0" w:color="auto"/>
              <w:right w:val="single" w:sz="4" w:space="0" w:color="auto"/>
            </w:tcBorders>
            <w:noWrap/>
            <w:vAlign w:val="bottom"/>
            <w:hideMark/>
          </w:tcPr>
          <w:p w14:paraId="7116B87D"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96.54%</w:t>
            </w:r>
          </w:p>
        </w:tc>
      </w:tr>
      <w:tr w:rsidR="00C40B0B" w:rsidRPr="00C40B0B" w14:paraId="795C0ECD" w14:textId="77777777" w:rsidTr="00AA60CC">
        <w:trPr>
          <w:trHeight w:val="165"/>
        </w:trPr>
        <w:tc>
          <w:tcPr>
            <w:tcW w:w="4390" w:type="dxa"/>
            <w:tcBorders>
              <w:top w:val="nil"/>
              <w:left w:val="single" w:sz="4" w:space="0" w:color="auto"/>
              <w:bottom w:val="single" w:sz="4" w:space="0" w:color="auto"/>
              <w:right w:val="single" w:sz="4" w:space="0" w:color="auto"/>
            </w:tcBorders>
            <w:shd w:val="clear" w:color="000000" w:fill="D9D9D9"/>
            <w:noWrap/>
            <w:vAlign w:val="bottom"/>
            <w:hideMark/>
          </w:tcPr>
          <w:p w14:paraId="028EB59F"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Impuesto Sobre Automóviles Nuevos (ISAN)</w:t>
            </w:r>
          </w:p>
        </w:tc>
        <w:tc>
          <w:tcPr>
            <w:tcW w:w="1842" w:type="dxa"/>
            <w:tcBorders>
              <w:top w:val="nil"/>
              <w:left w:val="nil"/>
              <w:bottom w:val="single" w:sz="4" w:space="0" w:color="auto"/>
              <w:right w:val="single" w:sz="4" w:space="0" w:color="auto"/>
            </w:tcBorders>
            <w:shd w:val="clear" w:color="000000" w:fill="D9D9D9"/>
            <w:noWrap/>
            <w:vAlign w:val="bottom"/>
            <w:hideMark/>
          </w:tcPr>
          <w:p w14:paraId="37DA45EA"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42,409,447.18</w:t>
            </w:r>
          </w:p>
        </w:tc>
        <w:tc>
          <w:tcPr>
            <w:tcW w:w="2268" w:type="dxa"/>
            <w:tcBorders>
              <w:top w:val="nil"/>
              <w:left w:val="nil"/>
              <w:bottom w:val="single" w:sz="4" w:space="0" w:color="auto"/>
              <w:right w:val="single" w:sz="4" w:space="0" w:color="auto"/>
            </w:tcBorders>
            <w:shd w:val="clear" w:color="000000" w:fill="D9D9D9"/>
            <w:noWrap/>
            <w:vAlign w:val="bottom"/>
            <w:hideMark/>
          </w:tcPr>
          <w:p w14:paraId="4BB901D8"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 xml:space="preserve">            30,516,041.00 </w:t>
            </w:r>
          </w:p>
        </w:tc>
        <w:tc>
          <w:tcPr>
            <w:tcW w:w="993" w:type="dxa"/>
            <w:tcBorders>
              <w:top w:val="nil"/>
              <w:left w:val="nil"/>
              <w:bottom w:val="single" w:sz="4" w:space="0" w:color="auto"/>
              <w:right w:val="single" w:sz="4" w:space="0" w:color="auto"/>
            </w:tcBorders>
            <w:shd w:val="clear" w:color="000000" w:fill="D9D9D9"/>
            <w:noWrap/>
            <w:vAlign w:val="bottom"/>
            <w:hideMark/>
          </w:tcPr>
          <w:p w14:paraId="1388922A"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71.96%</w:t>
            </w:r>
          </w:p>
        </w:tc>
      </w:tr>
      <w:tr w:rsidR="00C40B0B" w:rsidRPr="00C40B0B" w14:paraId="656996AD" w14:textId="77777777" w:rsidTr="00AA60CC">
        <w:trPr>
          <w:trHeight w:val="226"/>
        </w:trPr>
        <w:tc>
          <w:tcPr>
            <w:tcW w:w="4390" w:type="dxa"/>
            <w:tcBorders>
              <w:top w:val="nil"/>
              <w:left w:val="single" w:sz="4" w:space="0" w:color="auto"/>
              <w:bottom w:val="single" w:sz="4" w:space="0" w:color="auto"/>
              <w:right w:val="single" w:sz="4" w:space="0" w:color="auto"/>
            </w:tcBorders>
            <w:noWrap/>
            <w:vAlign w:val="bottom"/>
            <w:hideMark/>
          </w:tcPr>
          <w:p w14:paraId="5BB0BB7E"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Fondo de Compensación de Repecos-Intermedios</w:t>
            </w:r>
          </w:p>
        </w:tc>
        <w:tc>
          <w:tcPr>
            <w:tcW w:w="1842" w:type="dxa"/>
            <w:tcBorders>
              <w:top w:val="nil"/>
              <w:left w:val="nil"/>
              <w:bottom w:val="single" w:sz="4" w:space="0" w:color="auto"/>
              <w:right w:val="single" w:sz="4" w:space="0" w:color="auto"/>
            </w:tcBorders>
            <w:noWrap/>
            <w:vAlign w:val="bottom"/>
            <w:hideMark/>
          </w:tcPr>
          <w:p w14:paraId="2615B5B4"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3,578,168.63</w:t>
            </w:r>
          </w:p>
        </w:tc>
        <w:tc>
          <w:tcPr>
            <w:tcW w:w="2268" w:type="dxa"/>
            <w:tcBorders>
              <w:top w:val="nil"/>
              <w:left w:val="nil"/>
              <w:bottom w:val="single" w:sz="4" w:space="0" w:color="auto"/>
              <w:right w:val="single" w:sz="4" w:space="0" w:color="auto"/>
            </w:tcBorders>
            <w:noWrap/>
            <w:vAlign w:val="bottom"/>
            <w:hideMark/>
          </w:tcPr>
          <w:p w14:paraId="29E88792"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 xml:space="preserve">              2,601,609.39 </w:t>
            </w:r>
          </w:p>
        </w:tc>
        <w:tc>
          <w:tcPr>
            <w:tcW w:w="993" w:type="dxa"/>
            <w:tcBorders>
              <w:top w:val="nil"/>
              <w:left w:val="nil"/>
              <w:bottom w:val="single" w:sz="4" w:space="0" w:color="auto"/>
              <w:right w:val="single" w:sz="4" w:space="0" w:color="auto"/>
            </w:tcBorders>
            <w:noWrap/>
            <w:vAlign w:val="bottom"/>
            <w:hideMark/>
          </w:tcPr>
          <w:p w14:paraId="58A5A2F6"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72.71%</w:t>
            </w:r>
          </w:p>
        </w:tc>
      </w:tr>
      <w:tr w:rsidR="00C40B0B" w:rsidRPr="00C40B0B" w14:paraId="12E9633F" w14:textId="77777777" w:rsidTr="00AA60CC">
        <w:trPr>
          <w:trHeight w:val="130"/>
        </w:trPr>
        <w:tc>
          <w:tcPr>
            <w:tcW w:w="4390" w:type="dxa"/>
            <w:tcBorders>
              <w:top w:val="nil"/>
              <w:left w:val="single" w:sz="4" w:space="0" w:color="auto"/>
              <w:bottom w:val="single" w:sz="4" w:space="0" w:color="auto"/>
              <w:right w:val="single" w:sz="4" w:space="0" w:color="auto"/>
            </w:tcBorders>
            <w:shd w:val="clear" w:color="000000" w:fill="D9D9D9"/>
            <w:noWrap/>
            <w:vAlign w:val="bottom"/>
            <w:hideMark/>
          </w:tcPr>
          <w:p w14:paraId="1EC6467D" w14:textId="77777777" w:rsidR="00C40B0B" w:rsidRPr="00C40B0B" w:rsidRDefault="00C40B0B" w:rsidP="00C40B0B">
            <w:pPr>
              <w:spacing w:after="0" w:line="240" w:lineRule="auto"/>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Otros Incentivos Económicos</w:t>
            </w:r>
          </w:p>
        </w:tc>
        <w:tc>
          <w:tcPr>
            <w:tcW w:w="1842" w:type="dxa"/>
            <w:tcBorders>
              <w:top w:val="nil"/>
              <w:left w:val="nil"/>
              <w:bottom w:val="single" w:sz="4" w:space="0" w:color="auto"/>
              <w:right w:val="single" w:sz="4" w:space="0" w:color="auto"/>
            </w:tcBorders>
            <w:shd w:val="clear" w:color="000000" w:fill="D9D9D9"/>
            <w:noWrap/>
            <w:vAlign w:val="bottom"/>
            <w:hideMark/>
          </w:tcPr>
          <w:p w14:paraId="378AE282" w14:textId="790AD524"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91,787,788.04</w:t>
            </w:r>
          </w:p>
        </w:tc>
        <w:tc>
          <w:tcPr>
            <w:tcW w:w="2268" w:type="dxa"/>
            <w:tcBorders>
              <w:top w:val="nil"/>
              <w:left w:val="nil"/>
              <w:bottom w:val="single" w:sz="4" w:space="0" w:color="auto"/>
              <w:right w:val="single" w:sz="4" w:space="0" w:color="auto"/>
            </w:tcBorders>
            <w:shd w:val="clear" w:color="000000" w:fill="D9D9D9"/>
            <w:noWrap/>
            <w:vAlign w:val="bottom"/>
            <w:hideMark/>
          </w:tcPr>
          <w:p w14:paraId="6620586F"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 xml:space="preserve">            47,312,826.00 </w:t>
            </w:r>
          </w:p>
        </w:tc>
        <w:tc>
          <w:tcPr>
            <w:tcW w:w="993" w:type="dxa"/>
            <w:tcBorders>
              <w:top w:val="nil"/>
              <w:left w:val="nil"/>
              <w:bottom w:val="single" w:sz="4" w:space="0" w:color="auto"/>
              <w:right w:val="single" w:sz="4" w:space="0" w:color="auto"/>
            </w:tcBorders>
            <w:shd w:val="clear" w:color="000000" w:fill="D9D9D9"/>
            <w:noWrap/>
            <w:vAlign w:val="bottom"/>
            <w:hideMark/>
          </w:tcPr>
          <w:p w14:paraId="01ED97E8" w14:textId="77777777" w:rsidR="00C40B0B" w:rsidRPr="00C40B0B" w:rsidRDefault="00C40B0B" w:rsidP="00C40B0B">
            <w:pPr>
              <w:spacing w:after="0" w:line="240" w:lineRule="auto"/>
              <w:jc w:val="right"/>
              <w:rPr>
                <w:rFonts w:ascii="Arial" w:eastAsia="Times New Roman" w:hAnsi="Arial" w:cs="Arial"/>
                <w:kern w:val="0"/>
                <w:sz w:val="18"/>
                <w:szCs w:val="18"/>
                <w:lang w:eastAsia="es-MX"/>
                <w14:ligatures w14:val="none"/>
              </w:rPr>
            </w:pPr>
            <w:r w:rsidRPr="00C40B0B">
              <w:rPr>
                <w:rFonts w:ascii="Arial" w:eastAsia="Times New Roman" w:hAnsi="Arial" w:cs="Arial"/>
                <w:kern w:val="0"/>
                <w:sz w:val="18"/>
                <w:szCs w:val="18"/>
                <w:lang w:eastAsia="es-MX"/>
                <w14:ligatures w14:val="none"/>
              </w:rPr>
              <w:t>51.55%</w:t>
            </w:r>
          </w:p>
        </w:tc>
      </w:tr>
    </w:tbl>
    <w:p w14:paraId="0ABA90FB" w14:textId="697378AB" w:rsidR="00C40B0B" w:rsidRDefault="00C40B0B" w:rsidP="004A4A1C">
      <w:pPr>
        <w:spacing w:after="0" w:line="360" w:lineRule="auto"/>
        <w:jc w:val="center"/>
        <w:rPr>
          <w:rFonts w:ascii="Arial" w:hAnsi="Arial" w:cs="Arial"/>
          <w:color w:val="000000" w:themeColor="text1"/>
          <w:sz w:val="20"/>
          <w:szCs w:val="20"/>
        </w:rPr>
      </w:pPr>
      <w:r w:rsidRPr="00997CC5">
        <w:rPr>
          <w:rFonts w:ascii="Arial" w:eastAsia="Times New Roman" w:hAnsi="Arial" w:cs="Arial"/>
          <w:b/>
          <w:noProof/>
          <w:kern w:val="0"/>
          <w:sz w:val="24"/>
          <w:szCs w:val="26"/>
          <w14:ligatures w14:val="none"/>
        </w:rPr>
        <mc:AlternateContent>
          <mc:Choice Requires="wps">
            <w:drawing>
              <wp:anchor distT="0" distB="0" distL="114300" distR="114300" simplePos="0" relativeHeight="251797504" behindDoc="1" locked="0" layoutInCell="1" allowOverlap="1" wp14:anchorId="4C22C9A3" wp14:editId="0DE916FC">
                <wp:simplePos x="0" y="0"/>
                <wp:positionH relativeFrom="margin">
                  <wp:align>left</wp:align>
                </wp:positionH>
                <wp:positionV relativeFrom="paragraph">
                  <wp:posOffset>89196</wp:posOffset>
                </wp:positionV>
                <wp:extent cx="4657725" cy="451263"/>
                <wp:effectExtent l="0" t="0" r="0" b="0"/>
                <wp:wrapNone/>
                <wp:docPr id="33" name="Rectángulo 33"/>
                <wp:cNvGraphicFramePr/>
                <a:graphic xmlns:a="http://schemas.openxmlformats.org/drawingml/2006/main">
                  <a:graphicData uri="http://schemas.microsoft.com/office/word/2010/wordprocessingShape">
                    <wps:wsp>
                      <wps:cNvSpPr/>
                      <wps:spPr>
                        <a:xfrm>
                          <a:off x="0" y="0"/>
                          <a:ext cx="4657725" cy="451263"/>
                        </a:xfrm>
                        <a:prstGeom prst="rect">
                          <a:avLst/>
                        </a:prstGeom>
                        <a:noFill/>
                        <a:ln w="12700" cap="flat" cmpd="sng" algn="ctr">
                          <a:noFill/>
                          <a:prstDash val="solid"/>
                          <a:miter lim="800000"/>
                        </a:ln>
                        <a:effectLst/>
                      </wps:spPr>
                      <wps:txbx>
                        <w:txbxContent>
                          <w:p w14:paraId="3911103D" w14:textId="77777777" w:rsidR="00997CC5" w:rsidRPr="00997CC5" w:rsidRDefault="00997CC5" w:rsidP="00997CC5">
                            <w:pPr>
                              <w:spacing w:after="0" w:line="240" w:lineRule="atLeast"/>
                              <w:jc w:val="center"/>
                              <w:rPr>
                                <w:rFonts w:ascii="Arial" w:hAnsi="Arial" w:cs="Arial"/>
                                <w:color w:val="000000"/>
                                <w:sz w:val="16"/>
                                <w:szCs w:val="14"/>
                              </w:rPr>
                            </w:pPr>
                            <w:r w:rsidRPr="00997CC5">
                              <w:rPr>
                                <w:rFonts w:ascii="Arial" w:hAnsi="Arial" w:cs="Arial"/>
                                <w:color w:val="000000"/>
                                <w:sz w:val="16"/>
                                <w:szCs w:val="14"/>
                              </w:rPr>
                              <w:t>Fuente: Departamento de Control de Ingresos, Subsecretaría de Ingresos.</w:t>
                            </w:r>
                          </w:p>
                          <w:p w14:paraId="5EA8B951" w14:textId="77777777" w:rsidR="00997CC5" w:rsidRPr="00997CC5" w:rsidRDefault="00997CC5" w:rsidP="00997CC5">
                            <w:pPr>
                              <w:spacing w:after="0" w:line="240" w:lineRule="atLeast"/>
                              <w:jc w:val="center"/>
                              <w:rPr>
                                <w:rFonts w:ascii="Arial" w:hAnsi="Arial" w:cs="Arial"/>
                                <w:color w:val="000000"/>
                                <w:sz w:val="16"/>
                                <w:szCs w:val="14"/>
                              </w:rPr>
                            </w:pPr>
                            <w:r w:rsidRPr="00997CC5">
                              <w:rPr>
                                <w:rFonts w:ascii="Arial" w:hAnsi="Arial" w:cs="Arial"/>
                                <w:color w:val="000000"/>
                                <w:sz w:val="16"/>
                                <w:szCs w:val="14"/>
                              </w:rPr>
                              <w:t>Elaboración: Departamento de Atención al Sistema Nacional de Coordinación Fiscal.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22C9A3" id="Rectángulo 33" o:spid="_x0000_s1031" style="position:absolute;left:0;text-align:left;margin-left:0;margin-top:7pt;width:366.75pt;height:35.55pt;z-index:-2515189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" filled="f" stroked="f" strokeweight="1pt">
                <v:textbox>
                  <w:txbxContent>
                    <w:p w14:paraId="3911103D" w14:textId="77777777" w:rsidR="00997CC5" w:rsidRPr="00997CC5" w:rsidRDefault="00997CC5" w:rsidP="00997CC5">
                      <w:pPr>
                        <w:spacing w:after="0" w:line="240" w:lineRule="atLeast"/>
                        <w:jc w:val="center"/>
                        <w:rPr>
                          <w:rFonts w:ascii="Arial" w:hAnsi="Arial" w:cs="Arial"/>
                          <w:color w:val="000000"/>
                          <w:sz w:val="16"/>
                          <w:szCs w:val="14"/>
                        </w:rPr>
                      </w:pPr>
                      <w:r w:rsidRPr="00997CC5">
                        <w:rPr>
                          <w:rFonts w:ascii="Arial" w:hAnsi="Arial" w:cs="Arial"/>
                          <w:color w:val="000000"/>
                          <w:sz w:val="16"/>
                          <w:szCs w:val="14"/>
                        </w:rPr>
                        <w:t>Fuente: Departamento de Control de Ingresos, Subsecretaría de Ingresos.</w:t>
                      </w:r>
                    </w:p>
                    <w:p w14:paraId="5EA8B951" w14:textId="77777777" w:rsidR="00997CC5" w:rsidRPr="00997CC5" w:rsidRDefault="00997CC5" w:rsidP="00997CC5">
                      <w:pPr>
                        <w:spacing w:after="0" w:line="240" w:lineRule="atLeast"/>
                        <w:jc w:val="center"/>
                        <w:rPr>
                          <w:rFonts w:ascii="Arial" w:hAnsi="Arial" w:cs="Arial"/>
                          <w:color w:val="000000"/>
                          <w:sz w:val="16"/>
                          <w:szCs w:val="14"/>
                        </w:rPr>
                      </w:pPr>
                      <w:r w:rsidRPr="00997CC5">
                        <w:rPr>
                          <w:rFonts w:ascii="Arial" w:hAnsi="Arial" w:cs="Arial"/>
                          <w:color w:val="000000"/>
                          <w:sz w:val="16"/>
                          <w:szCs w:val="14"/>
                        </w:rPr>
                        <w:t>Elaboración: Departamento de Atención al Sistema Nacional de Coordinación Fiscal.</w:t>
                      </w:r>
                    </w:p>
                  </w:txbxContent>
                </v:textbox>
                <w10:wrap anchorx="margin"/>
              </v:rect>
            </w:pict>
          </mc:Fallback>
        </mc:AlternateContent>
      </w:r>
    </w:p>
    <w:p w14:paraId="0CDEC7A8" w14:textId="77777777" w:rsidR="00C40B0B" w:rsidRDefault="00C40B0B" w:rsidP="004A4A1C">
      <w:pPr>
        <w:spacing w:after="0" w:line="360" w:lineRule="auto"/>
        <w:jc w:val="center"/>
        <w:rPr>
          <w:rFonts w:ascii="Arial" w:hAnsi="Arial" w:cs="Arial"/>
          <w:color w:val="000000" w:themeColor="text1"/>
          <w:sz w:val="20"/>
          <w:szCs w:val="20"/>
        </w:rPr>
      </w:pPr>
    </w:p>
    <w:p w14:paraId="24C122D9" w14:textId="5D32045E" w:rsidR="00C40B0B" w:rsidRDefault="00C40B0B" w:rsidP="004A4A1C">
      <w:pPr>
        <w:spacing w:after="0" w:line="360" w:lineRule="auto"/>
        <w:jc w:val="center"/>
        <w:rPr>
          <w:rFonts w:ascii="Arial" w:hAnsi="Arial" w:cs="Arial"/>
          <w:color w:val="000000" w:themeColor="text1"/>
          <w:sz w:val="20"/>
          <w:szCs w:val="20"/>
        </w:rPr>
      </w:pPr>
    </w:p>
    <w:p w14:paraId="03459356" w14:textId="77777777" w:rsidR="00C40B0B" w:rsidRDefault="00C40B0B" w:rsidP="004A4A1C">
      <w:pPr>
        <w:spacing w:after="0" w:line="360" w:lineRule="auto"/>
        <w:jc w:val="center"/>
        <w:rPr>
          <w:rFonts w:ascii="Arial" w:hAnsi="Arial" w:cs="Arial"/>
          <w:color w:val="000000" w:themeColor="text1"/>
          <w:sz w:val="20"/>
          <w:szCs w:val="20"/>
        </w:rPr>
      </w:pPr>
    </w:p>
    <w:p w14:paraId="5259CAAD" w14:textId="207CA931" w:rsidR="00997CC5" w:rsidRDefault="00997CC5" w:rsidP="004A4A1C">
      <w:pPr>
        <w:spacing w:after="0" w:line="360" w:lineRule="auto"/>
        <w:jc w:val="center"/>
        <w:rPr>
          <w:rFonts w:ascii="Arial" w:hAnsi="Arial" w:cs="Arial"/>
          <w:color w:val="000000" w:themeColor="text1"/>
          <w:sz w:val="20"/>
          <w:szCs w:val="20"/>
        </w:rPr>
      </w:pPr>
    </w:p>
    <w:p w14:paraId="63DDC71D" w14:textId="200B5ADF" w:rsidR="00997CC5" w:rsidRDefault="00997CC5" w:rsidP="004A4A1C">
      <w:pPr>
        <w:spacing w:after="0" w:line="360" w:lineRule="auto"/>
        <w:jc w:val="center"/>
        <w:rPr>
          <w:rFonts w:ascii="Arial" w:hAnsi="Arial" w:cs="Arial"/>
          <w:color w:val="000000" w:themeColor="text1"/>
          <w:sz w:val="20"/>
          <w:szCs w:val="20"/>
        </w:rPr>
      </w:pPr>
    </w:p>
    <w:bookmarkEnd w:id="22"/>
    <w:p w14:paraId="43793680" w14:textId="69DC4862" w:rsidR="008A5EB8" w:rsidRDefault="008A5EB8" w:rsidP="004A4A1C">
      <w:pPr>
        <w:spacing w:after="0" w:line="360" w:lineRule="auto"/>
        <w:jc w:val="center"/>
        <w:rPr>
          <w:rFonts w:ascii="Arial" w:hAnsi="Arial" w:cs="Arial"/>
          <w:color w:val="000000" w:themeColor="text1"/>
          <w:sz w:val="20"/>
          <w:szCs w:val="20"/>
        </w:rPr>
      </w:pPr>
    </w:p>
    <w:p w14:paraId="42D1B69C" w14:textId="77777777" w:rsidR="00150443" w:rsidRDefault="00150443" w:rsidP="004A4A1C">
      <w:pPr>
        <w:spacing w:after="0" w:line="360" w:lineRule="auto"/>
        <w:jc w:val="center"/>
        <w:rPr>
          <w:rFonts w:ascii="Arial" w:hAnsi="Arial" w:cs="Arial"/>
          <w:color w:val="000000" w:themeColor="text1"/>
          <w:sz w:val="20"/>
          <w:szCs w:val="20"/>
        </w:rPr>
      </w:pPr>
    </w:p>
    <w:p w14:paraId="1A47D65E" w14:textId="77777777" w:rsidR="00AA433E" w:rsidRDefault="00AA433E" w:rsidP="00E74526">
      <w:pPr>
        <w:spacing w:after="0" w:line="360" w:lineRule="auto"/>
        <w:jc w:val="both"/>
        <w:rPr>
          <w:rFonts w:ascii="Arial" w:hAnsi="Arial" w:cs="Arial"/>
          <w:b/>
          <w:bCs/>
          <w:color w:val="000000" w:themeColor="text1"/>
          <w:sz w:val="24"/>
          <w:szCs w:val="24"/>
        </w:rPr>
      </w:pPr>
      <w:bookmarkStart w:id="24" w:name="_Hlk162257870"/>
      <w:bookmarkEnd w:id="21"/>
    </w:p>
    <w:p w14:paraId="442D5A72" w14:textId="77777777" w:rsidR="00AA433E" w:rsidRDefault="00AA433E" w:rsidP="00E74526">
      <w:pPr>
        <w:spacing w:after="0" w:line="360" w:lineRule="auto"/>
        <w:jc w:val="both"/>
        <w:rPr>
          <w:rFonts w:ascii="Arial" w:hAnsi="Arial" w:cs="Arial"/>
          <w:b/>
          <w:bCs/>
          <w:color w:val="000000" w:themeColor="text1"/>
          <w:sz w:val="24"/>
          <w:szCs w:val="24"/>
        </w:rPr>
      </w:pPr>
    </w:p>
    <w:p w14:paraId="32FB4757" w14:textId="0F3E89F1" w:rsidR="00AD220E" w:rsidRPr="00D373E8" w:rsidRDefault="00FF73A2" w:rsidP="00E74526">
      <w:pPr>
        <w:spacing w:after="0" w:line="360" w:lineRule="auto"/>
        <w:jc w:val="both"/>
        <w:rPr>
          <w:rFonts w:ascii="Arial" w:hAnsi="Arial" w:cs="Arial"/>
          <w:b/>
          <w:bCs/>
          <w:color w:val="000000" w:themeColor="text1"/>
          <w:sz w:val="24"/>
          <w:szCs w:val="24"/>
        </w:rPr>
      </w:pPr>
      <w:r w:rsidRPr="00390849">
        <w:rPr>
          <w:rFonts w:ascii="Arial" w:hAnsi="Arial" w:cs="Arial"/>
          <w:b/>
          <w:bCs/>
          <w:color w:val="000000" w:themeColor="text1"/>
          <w:sz w:val="24"/>
          <w:szCs w:val="24"/>
        </w:rPr>
        <w:lastRenderedPageBreak/>
        <w:t>Donde:</w:t>
      </w:r>
    </w:p>
    <w:p w14:paraId="29C876B4" w14:textId="28E58079" w:rsidR="00AD220E" w:rsidRDefault="00AD220E" w:rsidP="00E74526">
      <w:pPr>
        <w:spacing w:before="120" w:after="0" w:line="360" w:lineRule="auto"/>
        <w:ind w:left="1004"/>
        <w:contextualSpacing/>
        <w:jc w:val="both"/>
        <w:rPr>
          <w:rFonts w:ascii="Arial" w:eastAsia="Calibri" w:hAnsi="Arial" w:cs="Arial"/>
          <w:kern w:val="0"/>
          <w:sz w:val="24"/>
          <w14:ligatures w14:val="none"/>
        </w:rPr>
      </w:pPr>
      <w:bookmarkStart w:id="25" w:name="_Hlk102648810"/>
      <w:bookmarkEnd w:id="24"/>
    </w:p>
    <w:p w14:paraId="446553B3" w14:textId="2605727E" w:rsidR="00563CDA" w:rsidRDefault="00563CDA" w:rsidP="00E74526">
      <w:pPr>
        <w:spacing w:before="120" w:after="0" w:line="360" w:lineRule="auto"/>
        <w:ind w:left="1004"/>
        <w:contextualSpacing/>
        <w:jc w:val="both"/>
        <w:rPr>
          <w:rFonts w:ascii="Arial" w:eastAsia="Calibri" w:hAnsi="Arial" w:cs="Arial"/>
          <w:kern w:val="0"/>
          <w:sz w:val="24"/>
          <w14:ligatures w14:val="none"/>
        </w:rPr>
      </w:pPr>
    </w:p>
    <w:p w14:paraId="4CF3CBD6" w14:textId="0435BC2A" w:rsidR="007D3F49" w:rsidRPr="007D3F49" w:rsidRDefault="007D3F49" w:rsidP="007D3F49">
      <w:pPr>
        <w:numPr>
          <w:ilvl w:val="0"/>
          <w:numId w:val="7"/>
        </w:numPr>
        <w:spacing w:before="120" w:after="0" w:line="240" w:lineRule="auto"/>
        <w:ind w:left="1004"/>
        <w:contextualSpacing/>
        <w:jc w:val="both"/>
        <w:rPr>
          <w:rFonts w:ascii="Arial" w:eastAsia="Calibri" w:hAnsi="Arial" w:cs="Arial"/>
          <w:kern w:val="0"/>
          <w:sz w:val="24"/>
          <w14:ligatures w14:val="none"/>
        </w:rPr>
      </w:pPr>
      <w:r w:rsidRPr="007D3F49">
        <w:rPr>
          <w:rFonts w:ascii="Arial" w:eastAsia="Calibri" w:hAnsi="Arial" w:cs="Arial"/>
          <w:kern w:val="0"/>
          <w:sz w:val="24"/>
          <w14:ligatures w14:val="none"/>
        </w:rPr>
        <w:t xml:space="preserve">Los recursos por concepto del </w:t>
      </w:r>
      <w:r w:rsidRPr="007D3F49">
        <w:rPr>
          <w:rFonts w:ascii="Arial" w:eastAsia="Calibri" w:hAnsi="Arial" w:cs="Arial"/>
          <w:b/>
          <w:bCs/>
          <w:i/>
          <w:iCs/>
          <w:kern w:val="0"/>
          <w:sz w:val="24"/>
          <w14:ligatures w14:val="none"/>
        </w:rPr>
        <w:t>Fondo General</w:t>
      </w:r>
      <w:r w:rsidRPr="007D3F49">
        <w:rPr>
          <w:rFonts w:ascii="Arial" w:eastAsia="Calibri" w:hAnsi="Arial" w:cs="Arial"/>
          <w:kern w:val="0"/>
          <w:sz w:val="24"/>
          <w14:ligatures w14:val="none"/>
        </w:rPr>
        <w:t xml:space="preserve"> de participaciones ascendieron a $</w:t>
      </w:r>
      <w:r w:rsidR="00CC5BFC">
        <w:rPr>
          <w:rFonts w:ascii="Arial" w:eastAsia="Calibri" w:hAnsi="Arial" w:cs="Arial"/>
          <w:kern w:val="0"/>
          <w:sz w:val="24"/>
          <w14:ligatures w14:val="none"/>
        </w:rPr>
        <w:t>6,484,521,056.00</w:t>
      </w:r>
      <w:r w:rsidRPr="007D3F49">
        <w:rPr>
          <w:rFonts w:ascii="Arial" w:eastAsia="Calibri" w:hAnsi="Arial" w:cs="Arial"/>
          <w:kern w:val="0"/>
          <w:sz w:val="24"/>
          <w14:ligatures w14:val="none"/>
        </w:rPr>
        <w:t xml:space="preserve">, monto que representa un avance del </w:t>
      </w:r>
      <w:r w:rsidR="00CC5BFC">
        <w:rPr>
          <w:rFonts w:ascii="Arial" w:eastAsia="Calibri" w:hAnsi="Arial" w:cs="Arial"/>
          <w:kern w:val="0"/>
          <w:sz w:val="24"/>
          <w14:ligatures w14:val="none"/>
        </w:rPr>
        <w:t>97.13</w:t>
      </w:r>
      <w:r w:rsidRPr="007D3F49">
        <w:rPr>
          <w:rFonts w:ascii="Arial" w:eastAsia="Calibri" w:hAnsi="Arial" w:cs="Arial"/>
          <w:kern w:val="0"/>
          <w:sz w:val="24"/>
          <w14:ligatures w14:val="none"/>
        </w:rPr>
        <w:t>% respecto a lo estimado en la Ley de Ingresos del 202</w:t>
      </w:r>
      <w:r w:rsidR="00CC5BFC">
        <w:rPr>
          <w:rFonts w:ascii="Arial" w:eastAsia="Calibri" w:hAnsi="Arial" w:cs="Arial"/>
          <w:kern w:val="0"/>
          <w:sz w:val="24"/>
          <w14:ligatures w14:val="none"/>
        </w:rPr>
        <w:t>6</w:t>
      </w:r>
      <w:r w:rsidRPr="007D3F49">
        <w:rPr>
          <w:rFonts w:ascii="Arial" w:eastAsia="Calibri" w:hAnsi="Arial" w:cs="Arial"/>
          <w:kern w:val="0"/>
          <w:sz w:val="24"/>
          <w14:ligatures w14:val="none"/>
        </w:rPr>
        <w:t>.</w:t>
      </w:r>
    </w:p>
    <w:p w14:paraId="3FDFAE54" w14:textId="77777777" w:rsidR="007D3F49" w:rsidRPr="007D3F49" w:rsidRDefault="007D3F49" w:rsidP="007D3F49">
      <w:pPr>
        <w:spacing w:after="0" w:line="240" w:lineRule="auto"/>
        <w:ind w:left="1004"/>
        <w:contextualSpacing/>
        <w:jc w:val="both"/>
        <w:rPr>
          <w:rFonts w:ascii="Arial" w:eastAsia="Calibri" w:hAnsi="Arial" w:cs="Arial"/>
          <w:kern w:val="0"/>
          <w:sz w:val="24"/>
          <w14:ligatures w14:val="none"/>
        </w:rPr>
      </w:pPr>
    </w:p>
    <w:p w14:paraId="032FA157" w14:textId="2F3DDFB0" w:rsidR="007D3F49" w:rsidRPr="007D3F49" w:rsidRDefault="007D3F49" w:rsidP="007D3F49">
      <w:pPr>
        <w:numPr>
          <w:ilvl w:val="0"/>
          <w:numId w:val="5"/>
        </w:numPr>
        <w:spacing w:before="120" w:after="0" w:line="240" w:lineRule="auto"/>
        <w:contextualSpacing/>
        <w:jc w:val="both"/>
        <w:rPr>
          <w:rFonts w:ascii="Arial" w:eastAsia="Calibri" w:hAnsi="Arial" w:cs="Arial"/>
          <w:kern w:val="0"/>
          <w:sz w:val="24"/>
          <w14:ligatures w14:val="none"/>
        </w:rPr>
      </w:pPr>
      <w:r w:rsidRPr="007D3F49">
        <w:rPr>
          <w:rFonts w:ascii="Arial" w:eastAsia="Calibri" w:hAnsi="Arial" w:cs="Arial"/>
          <w:kern w:val="0"/>
          <w:sz w:val="24"/>
          <w14:ligatures w14:val="none"/>
        </w:rPr>
        <w:t xml:space="preserve">Los ingresos por el </w:t>
      </w:r>
      <w:r w:rsidRPr="007D3F49">
        <w:rPr>
          <w:rFonts w:ascii="Arial" w:eastAsia="Calibri" w:hAnsi="Arial" w:cs="Arial"/>
          <w:b/>
          <w:bCs/>
          <w:i/>
          <w:iCs/>
          <w:kern w:val="0"/>
          <w:sz w:val="24"/>
          <w14:ligatures w14:val="none"/>
        </w:rPr>
        <w:t>Fondo de Fomento Municipal</w:t>
      </w:r>
      <w:r w:rsidRPr="007D3F49">
        <w:rPr>
          <w:rFonts w:ascii="Arial" w:eastAsia="Calibri" w:hAnsi="Arial" w:cs="Arial"/>
          <w:kern w:val="0"/>
          <w:sz w:val="24"/>
          <w14:ligatures w14:val="none"/>
        </w:rPr>
        <w:t xml:space="preserve"> fueron de $</w:t>
      </w:r>
      <w:r w:rsidR="00CC5BFC">
        <w:rPr>
          <w:rFonts w:ascii="Arial" w:eastAsia="Calibri" w:hAnsi="Arial" w:cs="Arial"/>
          <w:kern w:val="0"/>
          <w:sz w:val="24"/>
          <w14:ligatures w14:val="none"/>
        </w:rPr>
        <w:t>270,552,830.00</w:t>
      </w:r>
      <w:r w:rsidRPr="007D3F49">
        <w:rPr>
          <w:rFonts w:ascii="Arial" w:eastAsia="Calibri" w:hAnsi="Arial" w:cs="Arial"/>
          <w:kern w:val="0"/>
          <w:sz w:val="24"/>
          <w14:ligatures w14:val="none"/>
        </w:rPr>
        <w:t xml:space="preserve">, cifra que representa un avance del </w:t>
      </w:r>
      <w:r w:rsidR="00CC5BFC">
        <w:rPr>
          <w:rFonts w:ascii="Arial" w:eastAsia="Calibri" w:hAnsi="Arial" w:cs="Arial"/>
          <w:kern w:val="0"/>
          <w:sz w:val="24"/>
          <w14:ligatures w14:val="none"/>
        </w:rPr>
        <w:t>95.47</w:t>
      </w:r>
      <w:r w:rsidRPr="007D3F49">
        <w:rPr>
          <w:rFonts w:ascii="Arial" w:eastAsia="Calibri" w:hAnsi="Arial" w:cs="Arial"/>
          <w:kern w:val="0"/>
          <w:sz w:val="24"/>
          <w14:ligatures w14:val="none"/>
        </w:rPr>
        <w:t>%, respecto a lo estimado en la Ley de Ingresos 202</w:t>
      </w:r>
      <w:r w:rsidR="00CC5BFC">
        <w:rPr>
          <w:rFonts w:ascii="Arial" w:eastAsia="Calibri" w:hAnsi="Arial" w:cs="Arial"/>
          <w:kern w:val="0"/>
          <w:sz w:val="24"/>
          <w14:ligatures w14:val="none"/>
        </w:rPr>
        <w:t>6</w:t>
      </w:r>
      <w:r w:rsidRPr="007D3F49">
        <w:rPr>
          <w:rFonts w:ascii="Arial" w:eastAsia="Calibri" w:hAnsi="Arial" w:cs="Arial"/>
          <w:kern w:val="0"/>
          <w:sz w:val="24"/>
          <w14:ligatures w14:val="none"/>
        </w:rPr>
        <w:t>.</w:t>
      </w:r>
    </w:p>
    <w:p w14:paraId="554D2B65" w14:textId="77777777" w:rsidR="007D3F49" w:rsidRPr="007D3F49" w:rsidRDefault="007D3F49" w:rsidP="007D3F49">
      <w:pPr>
        <w:spacing w:after="0" w:line="240" w:lineRule="auto"/>
        <w:ind w:left="1004"/>
        <w:contextualSpacing/>
        <w:jc w:val="both"/>
        <w:rPr>
          <w:rFonts w:ascii="Arial" w:eastAsia="Calibri" w:hAnsi="Arial" w:cs="Arial"/>
          <w:kern w:val="0"/>
          <w:sz w:val="24"/>
          <w14:ligatures w14:val="none"/>
        </w:rPr>
      </w:pPr>
    </w:p>
    <w:p w14:paraId="0C86A2A8" w14:textId="4ADBDBAC" w:rsidR="007D3F49" w:rsidRPr="007D3F49" w:rsidRDefault="007D3F49" w:rsidP="007D3F49">
      <w:pPr>
        <w:numPr>
          <w:ilvl w:val="0"/>
          <w:numId w:val="5"/>
        </w:numPr>
        <w:spacing w:before="120" w:after="0" w:line="240" w:lineRule="auto"/>
        <w:contextualSpacing/>
        <w:jc w:val="both"/>
        <w:rPr>
          <w:rFonts w:ascii="Arial" w:eastAsia="Calibri" w:hAnsi="Arial" w:cs="Arial"/>
          <w:kern w:val="0"/>
          <w:sz w:val="24"/>
          <w14:ligatures w14:val="none"/>
        </w:rPr>
      </w:pPr>
      <w:r w:rsidRPr="007D3F49">
        <w:rPr>
          <w:rFonts w:ascii="Arial" w:eastAsia="Calibri" w:hAnsi="Arial" w:cs="Arial"/>
          <w:kern w:val="0"/>
          <w:sz w:val="24"/>
          <w14:ligatures w14:val="none"/>
        </w:rPr>
        <w:t xml:space="preserve">Los ingresos por el </w:t>
      </w:r>
      <w:r w:rsidRPr="007D3F49">
        <w:rPr>
          <w:rFonts w:ascii="Arial" w:eastAsia="Calibri" w:hAnsi="Arial" w:cs="Arial"/>
          <w:b/>
          <w:bCs/>
          <w:i/>
          <w:iCs/>
          <w:kern w:val="0"/>
          <w:sz w:val="24"/>
          <w14:ligatures w14:val="none"/>
        </w:rPr>
        <w:t>Fondo de Fiscalización</w:t>
      </w:r>
      <w:r w:rsidRPr="007D3F49">
        <w:rPr>
          <w:rFonts w:ascii="Arial" w:eastAsia="Calibri" w:hAnsi="Arial" w:cs="Arial"/>
          <w:kern w:val="0"/>
          <w:sz w:val="24"/>
          <w14:ligatures w14:val="none"/>
        </w:rPr>
        <w:t xml:space="preserve"> fueron de $</w:t>
      </w:r>
      <w:r w:rsidR="00CC5BFC">
        <w:rPr>
          <w:rFonts w:ascii="Arial" w:eastAsia="Calibri" w:hAnsi="Arial" w:cs="Arial"/>
          <w:kern w:val="0"/>
          <w:sz w:val="24"/>
          <w14:ligatures w14:val="none"/>
        </w:rPr>
        <w:t>220,638,680.24</w:t>
      </w:r>
      <w:r w:rsidRPr="007D3F49">
        <w:rPr>
          <w:rFonts w:ascii="Arial" w:eastAsia="Calibri" w:hAnsi="Arial" w:cs="Arial"/>
          <w:kern w:val="0"/>
          <w:sz w:val="24"/>
          <w14:ligatures w14:val="none"/>
        </w:rPr>
        <w:t>, cifra que representa un avance del 8</w:t>
      </w:r>
      <w:r w:rsidR="00CC5BFC">
        <w:rPr>
          <w:rFonts w:ascii="Arial" w:eastAsia="Calibri" w:hAnsi="Arial" w:cs="Arial"/>
          <w:kern w:val="0"/>
          <w:sz w:val="24"/>
          <w14:ligatures w14:val="none"/>
        </w:rPr>
        <w:t>2.63</w:t>
      </w:r>
      <w:r w:rsidRPr="007D3F49">
        <w:rPr>
          <w:rFonts w:ascii="Arial" w:eastAsia="Calibri" w:hAnsi="Arial" w:cs="Arial"/>
          <w:kern w:val="0"/>
          <w:sz w:val="24"/>
          <w14:ligatures w14:val="none"/>
        </w:rPr>
        <w:t>%, respecto a lo estimado en la Ley de Ingresos 202</w:t>
      </w:r>
      <w:r w:rsidR="00CC5BFC">
        <w:rPr>
          <w:rFonts w:ascii="Arial" w:eastAsia="Calibri" w:hAnsi="Arial" w:cs="Arial"/>
          <w:kern w:val="0"/>
          <w:sz w:val="24"/>
          <w14:ligatures w14:val="none"/>
        </w:rPr>
        <w:t>6</w:t>
      </w:r>
      <w:r w:rsidRPr="007D3F49">
        <w:rPr>
          <w:rFonts w:ascii="Arial" w:eastAsia="Calibri" w:hAnsi="Arial" w:cs="Arial"/>
          <w:kern w:val="0"/>
          <w:sz w:val="24"/>
          <w14:ligatures w14:val="none"/>
        </w:rPr>
        <w:t>.</w:t>
      </w:r>
    </w:p>
    <w:p w14:paraId="241AACCC" w14:textId="77777777" w:rsidR="007D3F49" w:rsidRPr="007D3F49" w:rsidRDefault="007D3F49" w:rsidP="007D3F49">
      <w:pPr>
        <w:spacing w:after="240" w:line="240" w:lineRule="auto"/>
        <w:ind w:left="720" w:firstLine="284"/>
        <w:contextualSpacing/>
        <w:jc w:val="both"/>
        <w:rPr>
          <w:rFonts w:ascii="Arial" w:eastAsia="Calibri" w:hAnsi="Arial" w:cs="Arial"/>
          <w:kern w:val="0"/>
          <w:sz w:val="24"/>
          <w14:ligatures w14:val="none"/>
        </w:rPr>
      </w:pPr>
    </w:p>
    <w:p w14:paraId="2E63D691" w14:textId="4D08FCC0" w:rsidR="007D3F49" w:rsidRPr="007D3F49" w:rsidRDefault="007D3F49" w:rsidP="007D3F49">
      <w:pPr>
        <w:numPr>
          <w:ilvl w:val="0"/>
          <w:numId w:val="5"/>
        </w:numPr>
        <w:spacing w:before="120" w:after="0" w:line="240" w:lineRule="auto"/>
        <w:contextualSpacing/>
        <w:jc w:val="both"/>
        <w:rPr>
          <w:rFonts w:ascii="Arial" w:eastAsia="Calibri" w:hAnsi="Arial" w:cs="Arial"/>
          <w:kern w:val="0"/>
          <w:sz w:val="24"/>
          <w14:ligatures w14:val="none"/>
        </w:rPr>
      </w:pPr>
      <w:r w:rsidRPr="007D3F49">
        <w:rPr>
          <w:rFonts w:ascii="Arial" w:eastAsia="Calibri" w:hAnsi="Arial" w:cs="Arial"/>
          <w:kern w:val="0"/>
          <w:sz w:val="24"/>
          <w14:ligatures w14:val="none"/>
        </w:rPr>
        <w:t xml:space="preserve">Los ingresos por el </w:t>
      </w:r>
      <w:r w:rsidRPr="007D3F49">
        <w:rPr>
          <w:rFonts w:ascii="Arial" w:eastAsia="Calibri" w:hAnsi="Arial" w:cs="Arial"/>
          <w:b/>
          <w:bCs/>
          <w:kern w:val="0"/>
          <w:sz w:val="24"/>
          <w14:ligatures w14:val="none"/>
        </w:rPr>
        <w:t>Fondo de Compensación</w:t>
      </w:r>
      <w:r w:rsidRPr="007D3F49">
        <w:rPr>
          <w:rFonts w:ascii="Arial" w:eastAsia="Calibri" w:hAnsi="Arial" w:cs="Arial"/>
          <w:kern w:val="0"/>
          <w:sz w:val="24"/>
          <w14:ligatures w14:val="none"/>
        </w:rPr>
        <w:t xml:space="preserve"> fueron de $</w:t>
      </w:r>
      <w:r w:rsidR="00CC5BFC">
        <w:rPr>
          <w:rFonts w:ascii="Arial" w:eastAsia="Calibri" w:hAnsi="Arial" w:cs="Arial"/>
          <w:kern w:val="0"/>
          <w:sz w:val="24"/>
          <w14:ligatures w14:val="none"/>
        </w:rPr>
        <w:t>181,050,331.57</w:t>
      </w:r>
      <w:r w:rsidRPr="007D3F49">
        <w:rPr>
          <w:rFonts w:ascii="Arial" w:eastAsia="Calibri" w:hAnsi="Arial" w:cs="Arial"/>
          <w:kern w:val="0"/>
          <w:sz w:val="24"/>
          <w14:ligatures w14:val="none"/>
        </w:rPr>
        <w:t>, cifra que representa un avance del 7</w:t>
      </w:r>
      <w:r w:rsidR="00CC5BFC">
        <w:rPr>
          <w:rFonts w:ascii="Arial" w:eastAsia="Calibri" w:hAnsi="Arial" w:cs="Arial"/>
          <w:kern w:val="0"/>
          <w:sz w:val="24"/>
          <w14:ligatures w14:val="none"/>
        </w:rPr>
        <w:t>4.94</w:t>
      </w:r>
      <w:r w:rsidRPr="007D3F49">
        <w:rPr>
          <w:rFonts w:ascii="Arial" w:eastAsia="Calibri" w:hAnsi="Arial" w:cs="Arial"/>
          <w:kern w:val="0"/>
          <w:sz w:val="24"/>
          <w14:ligatures w14:val="none"/>
        </w:rPr>
        <w:t>%, en comparación a lo estimado para el ejercicio fiscal 202</w:t>
      </w:r>
      <w:r w:rsidR="00CC5BFC">
        <w:rPr>
          <w:rFonts w:ascii="Arial" w:eastAsia="Calibri" w:hAnsi="Arial" w:cs="Arial"/>
          <w:kern w:val="0"/>
          <w:sz w:val="24"/>
          <w14:ligatures w14:val="none"/>
        </w:rPr>
        <w:t>6</w:t>
      </w:r>
      <w:r w:rsidRPr="007D3F49">
        <w:rPr>
          <w:rFonts w:ascii="Arial" w:eastAsia="Calibri" w:hAnsi="Arial" w:cs="Arial"/>
          <w:kern w:val="0"/>
          <w:sz w:val="24"/>
          <w14:ligatures w14:val="none"/>
        </w:rPr>
        <w:t>.</w:t>
      </w:r>
    </w:p>
    <w:p w14:paraId="472B44F4" w14:textId="77777777" w:rsidR="007D3F49" w:rsidRPr="007D3F49" w:rsidRDefault="007D3F49" w:rsidP="007D3F49">
      <w:pPr>
        <w:spacing w:after="240" w:line="240" w:lineRule="auto"/>
        <w:ind w:left="720" w:firstLine="284"/>
        <w:contextualSpacing/>
        <w:jc w:val="both"/>
        <w:rPr>
          <w:rFonts w:ascii="Arial" w:eastAsia="Calibri" w:hAnsi="Arial" w:cs="Arial"/>
          <w:kern w:val="0"/>
          <w:sz w:val="24"/>
          <w14:ligatures w14:val="none"/>
        </w:rPr>
      </w:pPr>
    </w:p>
    <w:p w14:paraId="62011B08" w14:textId="71BFC306" w:rsidR="007D3F49" w:rsidRPr="007D3F49" w:rsidRDefault="007D3F49" w:rsidP="007D3F49">
      <w:pPr>
        <w:numPr>
          <w:ilvl w:val="0"/>
          <w:numId w:val="5"/>
        </w:numPr>
        <w:spacing w:before="120" w:after="0" w:line="240" w:lineRule="auto"/>
        <w:contextualSpacing/>
        <w:jc w:val="both"/>
        <w:rPr>
          <w:rFonts w:ascii="Arial" w:eastAsia="Calibri" w:hAnsi="Arial" w:cs="Arial"/>
          <w:kern w:val="0"/>
          <w:sz w:val="24"/>
          <w14:ligatures w14:val="none"/>
        </w:rPr>
      </w:pPr>
      <w:r w:rsidRPr="007D3F49">
        <w:rPr>
          <w:rFonts w:ascii="Arial" w:eastAsia="Calibri" w:hAnsi="Arial" w:cs="Arial"/>
          <w:kern w:val="0"/>
          <w:sz w:val="24"/>
          <w14:ligatures w14:val="none"/>
        </w:rPr>
        <w:t xml:space="preserve">Los ingresos por el </w:t>
      </w:r>
      <w:r w:rsidRPr="007D3F49">
        <w:rPr>
          <w:rFonts w:ascii="Arial" w:eastAsia="Calibri" w:hAnsi="Arial" w:cs="Arial"/>
          <w:b/>
          <w:bCs/>
          <w:kern w:val="0"/>
          <w:sz w:val="24"/>
          <w14:ligatures w14:val="none"/>
        </w:rPr>
        <w:t>Impuesto Especial de Producción y Servicios (IEPS)</w:t>
      </w:r>
      <w:r w:rsidRPr="007D3F49">
        <w:rPr>
          <w:rFonts w:ascii="Arial" w:eastAsia="Calibri" w:hAnsi="Arial" w:cs="Arial"/>
          <w:kern w:val="0"/>
          <w:sz w:val="24"/>
          <w14:ligatures w14:val="none"/>
        </w:rPr>
        <w:t xml:space="preserve"> fueron de $</w:t>
      </w:r>
      <w:r w:rsidR="00CC5BFC">
        <w:rPr>
          <w:rFonts w:ascii="Arial" w:eastAsia="Calibri" w:hAnsi="Arial" w:cs="Arial"/>
          <w:kern w:val="0"/>
          <w:sz w:val="24"/>
          <w14:ligatures w14:val="none"/>
        </w:rPr>
        <w:t>78,149,799.56</w:t>
      </w:r>
      <w:r w:rsidRPr="007D3F49">
        <w:rPr>
          <w:rFonts w:ascii="Arial" w:eastAsia="Calibri" w:hAnsi="Arial" w:cs="Arial"/>
          <w:kern w:val="0"/>
          <w:sz w:val="24"/>
          <w14:ligatures w14:val="none"/>
        </w:rPr>
        <w:t xml:space="preserve">, monto que representa un avance del </w:t>
      </w:r>
      <w:r w:rsidR="00CC5BFC">
        <w:rPr>
          <w:rFonts w:ascii="Arial" w:eastAsia="Calibri" w:hAnsi="Arial" w:cs="Arial"/>
          <w:kern w:val="0"/>
          <w:sz w:val="24"/>
          <w14:ligatures w14:val="none"/>
        </w:rPr>
        <w:t>96.32</w:t>
      </w:r>
      <w:r w:rsidRPr="007D3F49">
        <w:rPr>
          <w:rFonts w:ascii="Arial" w:eastAsia="Calibri" w:hAnsi="Arial" w:cs="Arial"/>
          <w:kern w:val="0"/>
          <w:sz w:val="24"/>
          <w14:ligatures w14:val="none"/>
        </w:rPr>
        <w:t>%, en comparación a lo estimado en la Ley de Ingresos del 202</w:t>
      </w:r>
      <w:r w:rsidR="00CC5BFC">
        <w:rPr>
          <w:rFonts w:ascii="Arial" w:eastAsia="Calibri" w:hAnsi="Arial" w:cs="Arial"/>
          <w:kern w:val="0"/>
          <w:sz w:val="24"/>
          <w14:ligatures w14:val="none"/>
        </w:rPr>
        <w:t>6</w:t>
      </w:r>
      <w:r w:rsidRPr="007D3F49">
        <w:rPr>
          <w:rFonts w:ascii="Arial" w:eastAsia="Calibri" w:hAnsi="Arial" w:cs="Arial"/>
          <w:kern w:val="0"/>
          <w:sz w:val="24"/>
          <w14:ligatures w14:val="none"/>
        </w:rPr>
        <w:t>.</w:t>
      </w:r>
    </w:p>
    <w:p w14:paraId="5F76EC4E" w14:textId="77777777" w:rsidR="007D3F49" w:rsidRPr="007D3F49" w:rsidRDefault="007D3F49" w:rsidP="007D3F49">
      <w:pPr>
        <w:spacing w:after="0" w:line="240" w:lineRule="auto"/>
        <w:jc w:val="both"/>
        <w:rPr>
          <w:rFonts w:ascii="Arial" w:eastAsia="Calibri" w:hAnsi="Arial" w:cs="Arial"/>
          <w:kern w:val="0"/>
          <w:sz w:val="24"/>
          <w14:ligatures w14:val="none"/>
        </w:rPr>
      </w:pPr>
      <w:r w:rsidRPr="007D3F49">
        <w:rPr>
          <w:rFonts w:ascii="Arial" w:eastAsia="Times New Roman" w:hAnsi="Arial" w:cs="Arial"/>
          <w:color w:val="000000"/>
          <w:kern w:val="0"/>
          <w:sz w:val="24"/>
          <w:szCs w:val="24"/>
          <w:lang w:eastAsia="es-MX"/>
          <w14:ligatures w14:val="none"/>
        </w:rPr>
        <w:t xml:space="preserve">  </w:t>
      </w:r>
    </w:p>
    <w:p w14:paraId="7054437A" w14:textId="4C49E90D" w:rsidR="007D3F49" w:rsidRPr="007D3F49" w:rsidRDefault="007D3F49" w:rsidP="007D3F49">
      <w:pPr>
        <w:numPr>
          <w:ilvl w:val="0"/>
          <w:numId w:val="5"/>
        </w:numPr>
        <w:spacing w:before="120" w:after="0" w:line="240" w:lineRule="auto"/>
        <w:contextualSpacing/>
        <w:jc w:val="both"/>
        <w:rPr>
          <w:rFonts w:ascii="Arial" w:eastAsia="Calibri" w:hAnsi="Arial" w:cs="Arial"/>
          <w:kern w:val="0"/>
          <w:sz w:val="24"/>
          <w14:ligatures w14:val="none"/>
        </w:rPr>
      </w:pPr>
      <w:r w:rsidRPr="007D3F49">
        <w:rPr>
          <w:rFonts w:ascii="Arial" w:eastAsia="Calibri" w:hAnsi="Arial" w:cs="Arial"/>
          <w:kern w:val="0"/>
          <w:sz w:val="24"/>
          <w14:ligatures w14:val="none"/>
        </w:rPr>
        <w:t xml:space="preserve">Los ingresos por </w:t>
      </w:r>
      <w:r w:rsidRPr="007D3F49">
        <w:rPr>
          <w:rFonts w:ascii="Arial" w:eastAsia="Calibri" w:hAnsi="Arial" w:cs="Arial"/>
          <w:b/>
          <w:bCs/>
          <w:kern w:val="0"/>
          <w:sz w:val="24"/>
          <w14:ligatures w14:val="none"/>
        </w:rPr>
        <w:t xml:space="preserve">Gasolina y Diésel </w:t>
      </w:r>
      <w:r w:rsidRPr="007D3F49">
        <w:rPr>
          <w:rFonts w:ascii="Arial" w:eastAsia="Calibri" w:hAnsi="Arial" w:cs="Arial"/>
          <w:kern w:val="0"/>
          <w:sz w:val="24"/>
          <w14:ligatures w14:val="none"/>
        </w:rPr>
        <w:t>ascendieron a $</w:t>
      </w:r>
      <w:r w:rsidR="00CC5BFC">
        <w:rPr>
          <w:rFonts w:ascii="Arial" w:eastAsia="Calibri" w:hAnsi="Arial" w:cs="Arial"/>
          <w:kern w:val="0"/>
          <w:sz w:val="24"/>
          <w14:ligatures w14:val="none"/>
        </w:rPr>
        <w:t>144,615,934.12</w:t>
      </w:r>
      <w:r w:rsidRPr="007D3F49">
        <w:rPr>
          <w:rFonts w:ascii="Arial" w:eastAsia="Calibri" w:hAnsi="Arial" w:cs="Arial"/>
          <w:kern w:val="0"/>
          <w:sz w:val="24"/>
          <w14:ligatures w14:val="none"/>
        </w:rPr>
        <w:t xml:space="preserve">, que representan un avance del </w:t>
      </w:r>
      <w:r w:rsidR="00CC5BFC">
        <w:rPr>
          <w:rFonts w:ascii="Arial" w:eastAsia="Calibri" w:hAnsi="Arial" w:cs="Arial"/>
          <w:kern w:val="0"/>
          <w:sz w:val="24"/>
          <w14:ligatures w14:val="none"/>
        </w:rPr>
        <w:t>85.14</w:t>
      </w:r>
      <w:r w:rsidRPr="007D3F49">
        <w:rPr>
          <w:rFonts w:ascii="Arial" w:eastAsia="Calibri" w:hAnsi="Arial" w:cs="Arial"/>
          <w:kern w:val="0"/>
          <w:sz w:val="24"/>
          <w14:ligatures w14:val="none"/>
        </w:rPr>
        <w:t>%, respecto a lo estimado en la Ley de ingresos del 202</w:t>
      </w:r>
      <w:r w:rsidR="00CC5BFC">
        <w:rPr>
          <w:rFonts w:ascii="Arial" w:eastAsia="Calibri" w:hAnsi="Arial" w:cs="Arial"/>
          <w:kern w:val="0"/>
          <w:sz w:val="24"/>
          <w14:ligatures w14:val="none"/>
        </w:rPr>
        <w:t>6</w:t>
      </w:r>
      <w:r w:rsidRPr="007D3F49">
        <w:rPr>
          <w:rFonts w:ascii="Arial" w:eastAsia="Calibri" w:hAnsi="Arial" w:cs="Arial"/>
          <w:kern w:val="0"/>
          <w:sz w:val="24"/>
          <w14:ligatures w14:val="none"/>
        </w:rPr>
        <w:t>.</w:t>
      </w:r>
    </w:p>
    <w:p w14:paraId="6BAD82AC" w14:textId="77777777" w:rsidR="007D3F49" w:rsidRPr="007D3F49" w:rsidRDefault="007D3F49" w:rsidP="007D3F49">
      <w:pPr>
        <w:spacing w:after="240" w:line="240" w:lineRule="auto"/>
        <w:ind w:left="720" w:firstLine="284"/>
        <w:contextualSpacing/>
        <w:jc w:val="both"/>
        <w:rPr>
          <w:rFonts w:ascii="Arial" w:eastAsia="Calibri" w:hAnsi="Arial" w:cs="Arial"/>
          <w:kern w:val="0"/>
          <w:sz w:val="24"/>
          <w14:ligatures w14:val="none"/>
        </w:rPr>
      </w:pPr>
    </w:p>
    <w:p w14:paraId="7A7AFB4A" w14:textId="19069F03" w:rsidR="007D3F49" w:rsidRPr="007D3F49" w:rsidRDefault="007D3F49" w:rsidP="007D3F49">
      <w:pPr>
        <w:numPr>
          <w:ilvl w:val="0"/>
          <w:numId w:val="5"/>
        </w:numPr>
        <w:spacing w:before="120" w:after="0" w:line="240" w:lineRule="auto"/>
        <w:contextualSpacing/>
        <w:jc w:val="both"/>
        <w:rPr>
          <w:rFonts w:ascii="Arial" w:eastAsia="Calibri" w:hAnsi="Arial" w:cs="Arial"/>
          <w:kern w:val="0"/>
          <w:sz w:val="24"/>
          <w14:ligatures w14:val="none"/>
        </w:rPr>
      </w:pPr>
      <w:r w:rsidRPr="007D3F49">
        <w:rPr>
          <w:rFonts w:ascii="Arial" w:eastAsia="Calibri" w:hAnsi="Arial" w:cs="Arial"/>
          <w:kern w:val="0"/>
          <w:sz w:val="24"/>
          <w14:ligatures w14:val="none"/>
        </w:rPr>
        <w:t xml:space="preserve">Por el </w:t>
      </w:r>
      <w:r w:rsidRPr="007D3F49">
        <w:rPr>
          <w:rFonts w:ascii="Arial" w:eastAsia="Calibri" w:hAnsi="Arial" w:cs="Arial"/>
          <w:b/>
          <w:bCs/>
          <w:kern w:val="0"/>
          <w:sz w:val="24"/>
          <w14:ligatures w14:val="none"/>
        </w:rPr>
        <w:t>Fondo ISR</w:t>
      </w:r>
      <w:r w:rsidRPr="007D3F49">
        <w:rPr>
          <w:rFonts w:ascii="Arial" w:eastAsia="Calibri" w:hAnsi="Arial" w:cs="Arial"/>
          <w:kern w:val="0"/>
          <w:sz w:val="24"/>
          <w14:ligatures w14:val="none"/>
        </w:rPr>
        <w:t>, se percibieron ingresos por un monto de $</w:t>
      </w:r>
      <w:r w:rsidR="00CC5BFC">
        <w:rPr>
          <w:rFonts w:ascii="Arial" w:eastAsia="Calibri" w:hAnsi="Arial" w:cs="Arial"/>
          <w:kern w:val="0"/>
          <w:sz w:val="24"/>
          <w14:ligatures w14:val="none"/>
        </w:rPr>
        <w:t>1,174,363,598.33</w:t>
      </w:r>
      <w:r w:rsidRPr="007D3F49">
        <w:rPr>
          <w:rFonts w:ascii="Arial" w:eastAsia="Calibri" w:hAnsi="Arial" w:cs="Arial"/>
          <w:kern w:val="0"/>
          <w:sz w:val="24"/>
          <w14:ligatures w14:val="none"/>
        </w:rPr>
        <w:t>, cifra que representó un avance del 1</w:t>
      </w:r>
      <w:r w:rsidR="00CC5BFC">
        <w:rPr>
          <w:rFonts w:ascii="Arial" w:eastAsia="Calibri" w:hAnsi="Arial" w:cs="Arial"/>
          <w:kern w:val="0"/>
          <w:sz w:val="24"/>
          <w14:ligatures w14:val="none"/>
        </w:rPr>
        <w:t>82.73</w:t>
      </w:r>
      <w:r w:rsidRPr="007D3F49">
        <w:rPr>
          <w:rFonts w:ascii="Arial" w:eastAsia="Calibri" w:hAnsi="Arial" w:cs="Arial"/>
          <w:kern w:val="0"/>
          <w:sz w:val="24"/>
          <w14:ligatures w14:val="none"/>
        </w:rPr>
        <w:t>%, respecto a lo estimado en la Ley de Ingresos del 202</w:t>
      </w:r>
      <w:r w:rsidR="00CC5BFC">
        <w:rPr>
          <w:rFonts w:ascii="Arial" w:eastAsia="Calibri" w:hAnsi="Arial" w:cs="Arial"/>
          <w:kern w:val="0"/>
          <w:sz w:val="24"/>
          <w14:ligatures w14:val="none"/>
        </w:rPr>
        <w:t>6</w:t>
      </w:r>
      <w:r w:rsidRPr="007D3F49">
        <w:rPr>
          <w:rFonts w:ascii="Arial" w:eastAsia="Calibri" w:hAnsi="Arial" w:cs="Arial"/>
          <w:kern w:val="0"/>
          <w:sz w:val="24"/>
          <w14:ligatures w14:val="none"/>
        </w:rPr>
        <w:t>.</w:t>
      </w:r>
    </w:p>
    <w:p w14:paraId="5B073AFF" w14:textId="77777777" w:rsidR="007D3F49" w:rsidRPr="007D3F49" w:rsidRDefault="007D3F49" w:rsidP="007D3F49">
      <w:pPr>
        <w:spacing w:after="240" w:line="240" w:lineRule="auto"/>
        <w:ind w:left="720" w:firstLine="284"/>
        <w:contextualSpacing/>
        <w:jc w:val="both"/>
        <w:rPr>
          <w:rFonts w:ascii="Arial" w:eastAsia="Calibri" w:hAnsi="Arial" w:cs="Arial"/>
          <w:kern w:val="0"/>
          <w:sz w:val="24"/>
          <w14:ligatures w14:val="none"/>
        </w:rPr>
      </w:pPr>
    </w:p>
    <w:p w14:paraId="3F6F1EE1" w14:textId="3CFE2575" w:rsidR="007D3F49" w:rsidRPr="007D3F49" w:rsidRDefault="007D3F49" w:rsidP="007D3F49">
      <w:pPr>
        <w:numPr>
          <w:ilvl w:val="0"/>
          <w:numId w:val="5"/>
        </w:numPr>
        <w:spacing w:before="120" w:after="0" w:line="240" w:lineRule="auto"/>
        <w:contextualSpacing/>
        <w:jc w:val="both"/>
        <w:rPr>
          <w:rFonts w:ascii="Arial" w:eastAsia="Calibri" w:hAnsi="Arial" w:cs="Arial"/>
          <w:kern w:val="0"/>
          <w:sz w:val="24"/>
          <w14:ligatures w14:val="none"/>
        </w:rPr>
      </w:pPr>
      <w:r w:rsidRPr="007D3F49">
        <w:rPr>
          <w:rFonts w:ascii="Arial" w:eastAsia="Calibri" w:hAnsi="Arial" w:cs="Arial"/>
          <w:kern w:val="0"/>
          <w:sz w:val="24"/>
          <w14:ligatures w14:val="none"/>
        </w:rPr>
        <w:t>Por I</w:t>
      </w:r>
      <w:r w:rsidRPr="007D3F49">
        <w:rPr>
          <w:rFonts w:ascii="Arial" w:eastAsia="Calibri" w:hAnsi="Arial" w:cs="Arial"/>
          <w:b/>
          <w:bCs/>
          <w:kern w:val="0"/>
          <w:sz w:val="24"/>
          <w14:ligatures w14:val="none"/>
        </w:rPr>
        <w:t>ncentivos Económicos</w:t>
      </w:r>
      <w:r w:rsidRPr="007D3F49">
        <w:rPr>
          <w:rFonts w:ascii="Arial" w:eastAsia="Calibri" w:hAnsi="Arial" w:cs="Arial"/>
          <w:kern w:val="0"/>
          <w:sz w:val="24"/>
          <w14:ligatures w14:val="none"/>
        </w:rPr>
        <w:t xml:space="preserve"> se registraron $</w:t>
      </w:r>
      <w:r w:rsidR="00136A8F">
        <w:rPr>
          <w:rFonts w:ascii="Arial" w:eastAsia="Calibri" w:hAnsi="Arial" w:cs="Arial"/>
          <w:kern w:val="0"/>
          <w:sz w:val="24"/>
          <w14:ligatures w14:val="none"/>
        </w:rPr>
        <w:t>88,370,320.02</w:t>
      </w:r>
      <w:r w:rsidRPr="007D3F49">
        <w:rPr>
          <w:rFonts w:ascii="Arial" w:eastAsia="Calibri" w:hAnsi="Arial" w:cs="Arial"/>
          <w:kern w:val="0"/>
          <w:sz w:val="24"/>
          <w14:ligatures w14:val="none"/>
        </w:rPr>
        <w:t xml:space="preserve">, los cuales representan un avance del </w:t>
      </w:r>
      <w:r w:rsidR="00136A8F">
        <w:rPr>
          <w:rFonts w:ascii="Arial" w:eastAsia="Calibri" w:hAnsi="Arial" w:cs="Arial"/>
          <w:kern w:val="0"/>
          <w:sz w:val="24"/>
          <w14:ligatures w14:val="none"/>
        </w:rPr>
        <w:t>60.53</w:t>
      </w:r>
      <w:r w:rsidRPr="007D3F49">
        <w:rPr>
          <w:rFonts w:ascii="Arial" w:eastAsia="Calibri" w:hAnsi="Arial" w:cs="Arial"/>
          <w:kern w:val="0"/>
          <w:sz w:val="24"/>
          <w14:ligatures w14:val="none"/>
        </w:rPr>
        <w:t>% en comparación a lo estimado en la Ley de Ingresos del 202</w:t>
      </w:r>
      <w:r w:rsidR="00136A8F">
        <w:rPr>
          <w:rFonts w:ascii="Arial" w:eastAsia="Calibri" w:hAnsi="Arial" w:cs="Arial"/>
          <w:kern w:val="0"/>
          <w:sz w:val="24"/>
          <w14:ligatures w14:val="none"/>
        </w:rPr>
        <w:t>6</w:t>
      </w:r>
      <w:r w:rsidRPr="007D3F49">
        <w:rPr>
          <w:rFonts w:ascii="Arial" w:eastAsia="Calibri" w:hAnsi="Arial" w:cs="Arial"/>
          <w:kern w:val="0"/>
          <w:sz w:val="24"/>
          <w14:ligatures w14:val="none"/>
        </w:rPr>
        <w:t>.</w:t>
      </w:r>
    </w:p>
    <w:p w14:paraId="3A061AD3" w14:textId="173FDC55" w:rsidR="00997CC5" w:rsidRDefault="00997CC5" w:rsidP="00E74526">
      <w:pPr>
        <w:spacing w:before="120" w:after="0" w:line="360" w:lineRule="auto"/>
        <w:ind w:left="1004"/>
        <w:contextualSpacing/>
        <w:jc w:val="both"/>
        <w:rPr>
          <w:rFonts w:ascii="Arial" w:eastAsia="Calibri" w:hAnsi="Arial" w:cs="Arial"/>
          <w:kern w:val="0"/>
          <w:sz w:val="24"/>
          <w14:ligatures w14:val="none"/>
        </w:rPr>
      </w:pPr>
    </w:p>
    <w:bookmarkEnd w:id="25"/>
    <w:p w14:paraId="0A7EAED6" w14:textId="5729D416" w:rsidR="00AD220E" w:rsidRDefault="00AD220E" w:rsidP="00150443">
      <w:pPr>
        <w:spacing w:before="120" w:after="240" w:line="360" w:lineRule="auto"/>
        <w:ind w:left="-397" w:firstLine="284"/>
        <w:jc w:val="both"/>
        <w:rPr>
          <w:rFonts w:ascii="Arial" w:eastAsia="Times New Roman" w:hAnsi="Arial" w:cs="Arial"/>
          <w:b/>
          <w:i/>
          <w:iCs/>
          <w:color w:val="000000" w:themeColor="text1"/>
          <w:kern w:val="0"/>
          <w:sz w:val="24"/>
          <w14:ligatures w14:val="none"/>
        </w:rPr>
      </w:pPr>
      <w:r w:rsidRPr="00F20B88">
        <w:rPr>
          <w:rFonts w:ascii="Arial" w:eastAsia="Times New Roman" w:hAnsi="Arial" w:cs="Arial"/>
          <w:b/>
          <w:i/>
          <w:iCs/>
          <w:color w:val="000000" w:themeColor="text1"/>
          <w:kern w:val="0"/>
          <w:sz w:val="24"/>
          <w14:ligatures w14:val="none"/>
        </w:rPr>
        <w:t>Aportaciones Federales</w:t>
      </w:r>
    </w:p>
    <w:p w14:paraId="5143F9C0" w14:textId="7CEFDC7B" w:rsidR="007D3F49" w:rsidRDefault="007D3F49" w:rsidP="00150443">
      <w:pPr>
        <w:spacing w:after="0" w:line="240" w:lineRule="auto"/>
        <w:ind w:left="-397"/>
        <w:jc w:val="both"/>
        <w:rPr>
          <w:rFonts w:ascii="Arial" w:eastAsia="Calibri" w:hAnsi="Arial" w:cs="Arial"/>
          <w:kern w:val="0"/>
          <w:sz w:val="24"/>
          <w14:ligatures w14:val="none"/>
        </w:rPr>
      </w:pPr>
      <w:bookmarkStart w:id="26" w:name="_Hlk162260298"/>
    </w:p>
    <w:p w14:paraId="18EA58DE" w14:textId="67237D1B" w:rsidR="00136A8F" w:rsidRDefault="00136A8F" w:rsidP="00150443">
      <w:pPr>
        <w:tabs>
          <w:tab w:val="left" w:pos="2177"/>
        </w:tabs>
        <w:spacing w:after="0" w:line="360" w:lineRule="auto"/>
        <w:ind w:left="-397"/>
        <w:jc w:val="both"/>
        <w:rPr>
          <w:rFonts w:ascii="Arial" w:eastAsia="Calibri" w:hAnsi="Arial" w:cs="Arial"/>
          <w:kern w:val="0"/>
          <w:sz w:val="24"/>
          <w14:ligatures w14:val="none"/>
        </w:rPr>
      </w:pPr>
      <w:r w:rsidRPr="00136A8F">
        <w:rPr>
          <w:rFonts w:ascii="Arial" w:eastAsia="Calibri" w:hAnsi="Arial" w:cs="Arial"/>
          <w:kern w:val="0"/>
          <w:sz w:val="24"/>
          <w14:ligatures w14:val="none"/>
        </w:rPr>
        <w:t xml:space="preserve">Respecto a las </w:t>
      </w:r>
      <w:r w:rsidRPr="00136A8F">
        <w:rPr>
          <w:rFonts w:ascii="Arial" w:eastAsia="Calibri" w:hAnsi="Arial" w:cs="Arial"/>
          <w:b/>
          <w:bCs/>
          <w:i/>
          <w:iCs/>
          <w:kern w:val="0"/>
          <w:sz w:val="24"/>
          <w14:ligatures w14:val="none"/>
        </w:rPr>
        <w:t>Aportaciones Federales</w:t>
      </w:r>
      <w:r w:rsidRPr="00136A8F">
        <w:rPr>
          <w:rFonts w:ascii="Arial" w:eastAsia="Calibri" w:hAnsi="Arial" w:cs="Arial"/>
          <w:kern w:val="0"/>
          <w:sz w:val="24"/>
          <w14:ligatures w14:val="none"/>
        </w:rPr>
        <w:t xml:space="preserve"> al primer trimestre del 2026, se registraron </w:t>
      </w:r>
      <w:r w:rsidRPr="00136A8F">
        <w:rPr>
          <w:rFonts w:ascii="Arial" w:eastAsia="Calibri" w:hAnsi="Arial" w:cs="Arial"/>
          <w:b/>
          <w:bCs/>
          <w:kern w:val="0"/>
          <w:sz w:val="24"/>
          <w14:ligatures w14:val="none"/>
        </w:rPr>
        <w:t xml:space="preserve">$15,709,836,054.32, </w:t>
      </w:r>
      <w:r w:rsidRPr="00136A8F">
        <w:rPr>
          <w:rFonts w:ascii="Arial" w:eastAsia="Calibri" w:hAnsi="Arial" w:cs="Arial"/>
          <w:kern w:val="0"/>
          <w:sz w:val="24"/>
          <w14:ligatures w14:val="none"/>
        </w:rPr>
        <w:t xml:space="preserve">que representan un avance del </w:t>
      </w:r>
      <w:r w:rsidRPr="00136A8F">
        <w:rPr>
          <w:rFonts w:ascii="Arial" w:eastAsia="Calibri" w:hAnsi="Arial" w:cs="Arial"/>
          <w:b/>
          <w:bCs/>
          <w:kern w:val="0"/>
          <w:sz w:val="24"/>
          <w14:ligatures w14:val="none"/>
        </w:rPr>
        <w:t>107.85%</w:t>
      </w:r>
      <w:r w:rsidRPr="00136A8F">
        <w:rPr>
          <w:rFonts w:ascii="Arial" w:eastAsia="Calibri" w:hAnsi="Arial" w:cs="Arial"/>
          <w:kern w:val="0"/>
          <w:sz w:val="24"/>
          <w14:ligatures w14:val="none"/>
        </w:rPr>
        <w:t xml:space="preserve"> respecto a lo estimado en la Ley de Ingresos del 2026</w:t>
      </w:r>
    </w:p>
    <w:p w14:paraId="07DF550F" w14:textId="1DCEE4B6" w:rsidR="00136A8F" w:rsidRDefault="00136A8F" w:rsidP="007D3F49">
      <w:pPr>
        <w:spacing w:after="0" w:line="240" w:lineRule="auto"/>
        <w:jc w:val="both"/>
        <w:rPr>
          <w:rFonts w:ascii="Arial" w:eastAsia="Calibri" w:hAnsi="Arial" w:cs="Arial"/>
          <w:kern w:val="0"/>
          <w:sz w:val="24"/>
          <w14:ligatures w14:val="none"/>
        </w:rPr>
      </w:pPr>
    </w:p>
    <w:p w14:paraId="2528DFCD" w14:textId="2C1E9277" w:rsidR="00136A8F" w:rsidRDefault="00136A8F" w:rsidP="007D3F49">
      <w:pPr>
        <w:spacing w:after="0" w:line="240" w:lineRule="auto"/>
        <w:jc w:val="both"/>
        <w:rPr>
          <w:rFonts w:ascii="Arial" w:eastAsia="Calibri" w:hAnsi="Arial" w:cs="Arial"/>
          <w:kern w:val="0"/>
          <w:sz w:val="24"/>
          <w14:ligatures w14:val="none"/>
        </w:rPr>
      </w:pPr>
    </w:p>
    <w:p w14:paraId="388501B3" w14:textId="619EF70F" w:rsidR="00136A8F" w:rsidRDefault="00136A8F" w:rsidP="007D3F49">
      <w:pPr>
        <w:spacing w:after="0" w:line="240" w:lineRule="auto"/>
        <w:jc w:val="both"/>
        <w:rPr>
          <w:rFonts w:ascii="Arial" w:eastAsia="Calibri" w:hAnsi="Arial" w:cs="Arial"/>
          <w:kern w:val="0"/>
          <w:sz w:val="24"/>
          <w14:ligatures w14:val="none"/>
        </w:rPr>
      </w:pPr>
    </w:p>
    <w:p w14:paraId="2A78DBC8" w14:textId="77777777" w:rsidR="00136A8F" w:rsidRDefault="00136A8F" w:rsidP="007D3F49">
      <w:pPr>
        <w:spacing w:after="0" w:line="240" w:lineRule="auto"/>
        <w:jc w:val="both"/>
        <w:rPr>
          <w:rFonts w:ascii="Arial" w:eastAsia="Calibri" w:hAnsi="Arial" w:cs="Arial"/>
          <w:kern w:val="0"/>
          <w:sz w:val="24"/>
          <w14:ligatures w14:val="none"/>
        </w:rPr>
      </w:pPr>
    </w:p>
    <w:p w14:paraId="0FD75692" w14:textId="2723377F" w:rsidR="007D3F49" w:rsidRPr="007D3F49" w:rsidRDefault="007D3F49" w:rsidP="007D3F49">
      <w:pPr>
        <w:spacing w:after="0" w:line="240" w:lineRule="auto"/>
        <w:ind w:firstLine="284"/>
        <w:jc w:val="center"/>
        <w:rPr>
          <w:rFonts w:ascii="Arial" w:eastAsia="Calibri" w:hAnsi="Arial" w:cs="Arial"/>
          <w:i/>
          <w:iCs/>
          <w:color w:val="595959"/>
          <w:kern w:val="0"/>
          <w:sz w:val="18"/>
          <w:szCs w:val="18"/>
          <w14:ligatures w14:val="none"/>
        </w:rPr>
      </w:pPr>
      <w:r w:rsidRPr="007D3F49">
        <w:rPr>
          <w:rFonts w:ascii="Arial" w:eastAsia="Calibri" w:hAnsi="Arial" w:cs="Arial"/>
          <w:i/>
          <w:iCs/>
          <w:color w:val="595959"/>
          <w:kern w:val="0"/>
          <w:sz w:val="18"/>
          <w:szCs w:val="18"/>
          <w14:ligatures w14:val="none"/>
        </w:rPr>
        <w:t xml:space="preserve">Tabla </w:t>
      </w:r>
      <w:r w:rsidR="00136A8F">
        <w:rPr>
          <w:rFonts w:ascii="Arial" w:eastAsia="Calibri" w:hAnsi="Arial" w:cs="Arial"/>
          <w:i/>
          <w:iCs/>
          <w:color w:val="595959"/>
          <w:kern w:val="0"/>
          <w:sz w:val="18"/>
          <w:szCs w:val="18"/>
          <w14:ligatures w14:val="none"/>
        </w:rPr>
        <w:t>6</w:t>
      </w:r>
      <w:r w:rsidRPr="007D3F49">
        <w:rPr>
          <w:rFonts w:ascii="Arial" w:eastAsia="Calibri" w:hAnsi="Arial" w:cs="Arial"/>
          <w:i/>
          <w:iCs/>
          <w:color w:val="595959"/>
          <w:kern w:val="0"/>
          <w:sz w:val="18"/>
          <w:szCs w:val="18"/>
          <w14:ligatures w14:val="none"/>
        </w:rPr>
        <w:t xml:space="preserve">. Ingresos Federales, Aportaciones </w:t>
      </w:r>
    </w:p>
    <w:p w14:paraId="6AD6391D" w14:textId="77777777" w:rsidR="007D3F49" w:rsidRPr="007D3F49" w:rsidRDefault="007D3F49" w:rsidP="007D3F49">
      <w:pPr>
        <w:spacing w:after="0" w:line="240" w:lineRule="auto"/>
        <w:jc w:val="both"/>
        <w:rPr>
          <w:rFonts w:ascii="Arial" w:eastAsia="Calibri" w:hAnsi="Arial" w:cs="Arial"/>
          <w:kern w:val="0"/>
          <w:sz w:val="24"/>
          <w14:ligatures w14:val="none"/>
        </w:rPr>
      </w:pPr>
    </w:p>
    <w:tbl>
      <w:tblPr>
        <w:tblW w:w="9493" w:type="dxa"/>
        <w:tblCellMar>
          <w:left w:w="70" w:type="dxa"/>
          <w:right w:w="70" w:type="dxa"/>
        </w:tblCellMar>
        <w:tblLook w:val="04A0" w:firstRow="1" w:lastRow="0" w:firstColumn="1" w:lastColumn="0" w:noHBand="0" w:noVBand="1"/>
      </w:tblPr>
      <w:tblGrid>
        <w:gridCol w:w="4390"/>
        <w:gridCol w:w="1984"/>
        <w:gridCol w:w="1985"/>
        <w:gridCol w:w="1134"/>
      </w:tblGrid>
      <w:tr w:rsidR="00136A8F" w:rsidRPr="00136A8F" w14:paraId="0E517E58" w14:textId="77777777" w:rsidTr="00AA60CC">
        <w:trPr>
          <w:trHeight w:val="255"/>
        </w:trPr>
        <w:tc>
          <w:tcPr>
            <w:tcW w:w="4390" w:type="dxa"/>
            <w:vMerge w:val="restart"/>
            <w:tcBorders>
              <w:top w:val="single" w:sz="4" w:space="0" w:color="auto"/>
              <w:left w:val="single" w:sz="4" w:space="0" w:color="auto"/>
              <w:bottom w:val="single" w:sz="4" w:space="0" w:color="auto"/>
              <w:right w:val="single" w:sz="4" w:space="0" w:color="auto"/>
            </w:tcBorders>
            <w:shd w:val="clear" w:color="000000" w:fill="AB0033"/>
            <w:noWrap/>
            <w:vAlign w:val="center"/>
            <w:hideMark/>
          </w:tcPr>
          <w:p w14:paraId="6E7D6D03" w14:textId="77777777" w:rsidR="00136A8F" w:rsidRPr="00136A8F" w:rsidRDefault="00136A8F" w:rsidP="00136A8F">
            <w:pPr>
              <w:spacing w:after="0" w:line="240" w:lineRule="auto"/>
              <w:jc w:val="center"/>
              <w:rPr>
                <w:rFonts w:ascii="Arial" w:eastAsia="Times New Roman" w:hAnsi="Arial" w:cs="Arial"/>
                <w:b/>
                <w:bCs/>
                <w:color w:val="FFFFFF"/>
                <w:kern w:val="0"/>
                <w:sz w:val="18"/>
                <w:szCs w:val="18"/>
                <w:lang w:eastAsia="es-MX"/>
                <w14:ligatures w14:val="none"/>
              </w:rPr>
            </w:pPr>
            <w:r w:rsidRPr="00136A8F">
              <w:rPr>
                <w:rFonts w:ascii="Arial" w:eastAsia="Times New Roman" w:hAnsi="Arial" w:cs="Arial"/>
                <w:b/>
                <w:bCs/>
                <w:color w:val="FFFFFF"/>
                <w:kern w:val="0"/>
                <w:sz w:val="18"/>
                <w:szCs w:val="18"/>
                <w:lang w:eastAsia="es-MX"/>
                <w14:ligatures w14:val="none"/>
              </w:rPr>
              <w:t>Rubro de Ingresos</w:t>
            </w:r>
          </w:p>
        </w:tc>
        <w:tc>
          <w:tcPr>
            <w:tcW w:w="3969" w:type="dxa"/>
            <w:gridSpan w:val="2"/>
            <w:tcBorders>
              <w:top w:val="single" w:sz="4" w:space="0" w:color="auto"/>
              <w:left w:val="nil"/>
              <w:bottom w:val="single" w:sz="4" w:space="0" w:color="auto"/>
              <w:right w:val="single" w:sz="4" w:space="0" w:color="auto"/>
            </w:tcBorders>
            <w:shd w:val="clear" w:color="000000" w:fill="AB0033"/>
            <w:noWrap/>
            <w:vAlign w:val="bottom"/>
            <w:hideMark/>
          </w:tcPr>
          <w:p w14:paraId="5CCBF690" w14:textId="77777777" w:rsidR="00136A8F" w:rsidRPr="00136A8F" w:rsidRDefault="00136A8F" w:rsidP="00136A8F">
            <w:pPr>
              <w:spacing w:after="0" w:line="240" w:lineRule="auto"/>
              <w:jc w:val="center"/>
              <w:rPr>
                <w:rFonts w:ascii="Arial" w:eastAsia="Times New Roman" w:hAnsi="Arial" w:cs="Arial"/>
                <w:b/>
                <w:bCs/>
                <w:color w:val="FFFFFF"/>
                <w:kern w:val="0"/>
                <w:sz w:val="18"/>
                <w:szCs w:val="18"/>
                <w:lang w:eastAsia="es-MX"/>
                <w14:ligatures w14:val="none"/>
              </w:rPr>
            </w:pPr>
            <w:r w:rsidRPr="00136A8F">
              <w:rPr>
                <w:rFonts w:ascii="Arial" w:eastAsia="Times New Roman" w:hAnsi="Arial" w:cs="Arial"/>
                <w:b/>
                <w:bCs/>
                <w:color w:val="FFFFFF"/>
                <w:kern w:val="0"/>
                <w:sz w:val="18"/>
                <w:szCs w:val="18"/>
                <w:lang w:eastAsia="es-MX"/>
                <w14:ligatures w14:val="none"/>
              </w:rPr>
              <w:t>Ingreso</w:t>
            </w:r>
          </w:p>
        </w:tc>
        <w:tc>
          <w:tcPr>
            <w:tcW w:w="1134" w:type="dxa"/>
            <w:vMerge w:val="restart"/>
            <w:tcBorders>
              <w:top w:val="single" w:sz="4" w:space="0" w:color="auto"/>
              <w:left w:val="single" w:sz="4" w:space="0" w:color="auto"/>
              <w:bottom w:val="single" w:sz="4" w:space="0" w:color="auto"/>
              <w:right w:val="single" w:sz="4" w:space="0" w:color="auto"/>
            </w:tcBorders>
            <w:shd w:val="clear" w:color="000000" w:fill="AB0033"/>
            <w:noWrap/>
            <w:vAlign w:val="center"/>
            <w:hideMark/>
          </w:tcPr>
          <w:p w14:paraId="17BED080" w14:textId="77777777" w:rsidR="00136A8F" w:rsidRPr="00136A8F" w:rsidRDefault="00136A8F" w:rsidP="00136A8F">
            <w:pPr>
              <w:spacing w:after="0" w:line="240" w:lineRule="auto"/>
              <w:jc w:val="center"/>
              <w:rPr>
                <w:rFonts w:ascii="Arial" w:eastAsia="Times New Roman" w:hAnsi="Arial" w:cs="Arial"/>
                <w:b/>
                <w:bCs/>
                <w:color w:val="FFFFFF"/>
                <w:kern w:val="0"/>
                <w:sz w:val="18"/>
                <w:szCs w:val="18"/>
                <w:lang w:eastAsia="es-MX"/>
                <w14:ligatures w14:val="none"/>
              </w:rPr>
            </w:pPr>
            <w:r w:rsidRPr="00136A8F">
              <w:rPr>
                <w:rFonts w:ascii="Arial" w:eastAsia="Times New Roman" w:hAnsi="Arial" w:cs="Arial"/>
                <w:b/>
                <w:bCs/>
                <w:color w:val="FFFFFF"/>
                <w:kern w:val="0"/>
                <w:sz w:val="18"/>
                <w:szCs w:val="18"/>
                <w:lang w:eastAsia="es-MX"/>
                <w14:ligatures w14:val="none"/>
              </w:rPr>
              <w:t>Avance</w:t>
            </w:r>
          </w:p>
        </w:tc>
      </w:tr>
      <w:tr w:rsidR="00136A8F" w:rsidRPr="00136A8F" w14:paraId="0A4B3104" w14:textId="77777777" w:rsidTr="00AA60CC">
        <w:trPr>
          <w:trHeight w:val="510"/>
        </w:trPr>
        <w:tc>
          <w:tcPr>
            <w:tcW w:w="4390" w:type="dxa"/>
            <w:vMerge/>
            <w:tcBorders>
              <w:top w:val="single" w:sz="4" w:space="0" w:color="auto"/>
              <w:left w:val="single" w:sz="4" w:space="0" w:color="auto"/>
              <w:bottom w:val="single" w:sz="4" w:space="0" w:color="auto"/>
              <w:right w:val="single" w:sz="4" w:space="0" w:color="auto"/>
            </w:tcBorders>
            <w:vAlign w:val="center"/>
            <w:hideMark/>
          </w:tcPr>
          <w:p w14:paraId="6768A027" w14:textId="77777777" w:rsidR="00136A8F" w:rsidRPr="00136A8F" w:rsidRDefault="00136A8F" w:rsidP="00136A8F">
            <w:pPr>
              <w:spacing w:after="0" w:line="240" w:lineRule="auto"/>
              <w:rPr>
                <w:rFonts w:ascii="Arial" w:eastAsia="Times New Roman" w:hAnsi="Arial" w:cs="Arial"/>
                <w:b/>
                <w:bCs/>
                <w:color w:val="FFFFFF"/>
                <w:kern w:val="0"/>
                <w:sz w:val="18"/>
                <w:szCs w:val="18"/>
                <w:lang w:eastAsia="es-MX"/>
                <w14:ligatures w14:val="none"/>
              </w:rPr>
            </w:pPr>
          </w:p>
        </w:tc>
        <w:tc>
          <w:tcPr>
            <w:tcW w:w="1984" w:type="dxa"/>
            <w:tcBorders>
              <w:top w:val="nil"/>
              <w:left w:val="nil"/>
              <w:bottom w:val="single" w:sz="4" w:space="0" w:color="auto"/>
              <w:right w:val="single" w:sz="4" w:space="0" w:color="auto"/>
            </w:tcBorders>
            <w:shd w:val="clear" w:color="000000" w:fill="AB0033"/>
            <w:noWrap/>
            <w:vAlign w:val="center"/>
            <w:hideMark/>
          </w:tcPr>
          <w:p w14:paraId="33D4DC20" w14:textId="77777777" w:rsidR="00136A8F" w:rsidRPr="00136A8F" w:rsidRDefault="00136A8F" w:rsidP="00136A8F">
            <w:pPr>
              <w:spacing w:after="0" w:line="240" w:lineRule="auto"/>
              <w:jc w:val="center"/>
              <w:rPr>
                <w:rFonts w:ascii="Arial" w:eastAsia="Times New Roman" w:hAnsi="Arial" w:cs="Arial"/>
                <w:b/>
                <w:bCs/>
                <w:color w:val="FFFFFF"/>
                <w:kern w:val="0"/>
                <w:sz w:val="18"/>
                <w:szCs w:val="18"/>
                <w:lang w:eastAsia="es-MX"/>
                <w14:ligatures w14:val="none"/>
              </w:rPr>
            </w:pPr>
            <w:r w:rsidRPr="00136A8F">
              <w:rPr>
                <w:rFonts w:ascii="Arial" w:eastAsia="Times New Roman" w:hAnsi="Arial" w:cs="Arial"/>
                <w:b/>
                <w:bCs/>
                <w:color w:val="FFFFFF"/>
                <w:kern w:val="0"/>
                <w:sz w:val="18"/>
                <w:szCs w:val="18"/>
                <w:lang w:eastAsia="es-MX"/>
                <w14:ligatures w14:val="none"/>
              </w:rPr>
              <w:t>Estimado 2026</w:t>
            </w:r>
          </w:p>
        </w:tc>
        <w:tc>
          <w:tcPr>
            <w:tcW w:w="1985" w:type="dxa"/>
            <w:tcBorders>
              <w:top w:val="nil"/>
              <w:left w:val="nil"/>
              <w:bottom w:val="single" w:sz="4" w:space="0" w:color="auto"/>
              <w:right w:val="single" w:sz="4" w:space="0" w:color="auto"/>
            </w:tcBorders>
            <w:shd w:val="clear" w:color="000000" w:fill="AB0033"/>
            <w:vAlign w:val="center"/>
            <w:hideMark/>
          </w:tcPr>
          <w:p w14:paraId="080D76F1" w14:textId="77777777" w:rsidR="00136A8F" w:rsidRPr="00136A8F" w:rsidRDefault="00136A8F" w:rsidP="00136A8F">
            <w:pPr>
              <w:spacing w:after="0" w:line="240" w:lineRule="auto"/>
              <w:jc w:val="center"/>
              <w:rPr>
                <w:rFonts w:ascii="Arial" w:eastAsia="Times New Roman" w:hAnsi="Arial" w:cs="Arial"/>
                <w:b/>
                <w:bCs/>
                <w:color w:val="FFFFFF"/>
                <w:kern w:val="0"/>
                <w:sz w:val="18"/>
                <w:szCs w:val="18"/>
                <w:lang w:eastAsia="es-MX"/>
                <w14:ligatures w14:val="none"/>
              </w:rPr>
            </w:pPr>
            <w:r w:rsidRPr="00136A8F">
              <w:rPr>
                <w:rFonts w:ascii="Arial" w:eastAsia="Times New Roman" w:hAnsi="Arial" w:cs="Arial"/>
                <w:b/>
                <w:bCs/>
                <w:color w:val="FFFFFF"/>
                <w:kern w:val="0"/>
                <w:sz w:val="18"/>
                <w:szCs w:val="18"/>
                <w:lang w:eastAsia="es-MX"/>
                <w14:ligatures w14:val="none"/>
              </w:rPr>
              <w:t>Recaudado al 1er. trimestre de 2026</w:t>
            </w: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798C1B0" w14:textId="77777777" w:rsidR="00136A8F" w:rsidRPr="00136A8F" w:rsidRDefault="00136A8F" w:rsidP="00136A8F">
            <w:pPr>
              <w:spacing w:after="0" w:line="240" w:lineRule="auto"/>
              <w:rPr>
                <w:rFonts w:ascii="Arial" w:eastAsia="Times New Roman" w:hAnsi="Arial" w:cs="Arial"/>
                <w:b/>
                <w:bCs/>
                <w:color w:val="FFFFFF"/>
                <w:kern w:val="0"/>
                <w:sz w:val="18"/>
                <w:szCs w:val="18"/>
                <w:lang w:eastAsia="es-MX"/>
                <w14:ligatures w14:val="none"/>
              </w:rPr>
            </w:pPr>
          </w:p>
        </w:tc>
      </w:tr>
      <w:tr w:rsidR="00136A8F" w:rsidRPr="00136A8F" w14:paraId="337CF293" w14:textId="77777777" w:rsidTr="00AA60CC">
        <w:trPr>
          <w:trHeight w:val="188"/>
        </w:trPr>
        <w:tc>
          <w:tcPr>
            <w:tcW w:w="4390" w:type="dxa"/>
            <w:vMerge/>
            <w:tcBorders>
              <w:top w:val="single" w:sz="4" w:space="0" w:color="auto"/>
              <w:left w:val="single" w:sz="4" w:space="0" w:color="auto"/>
              <w:bottom w:val="single" w:sz="4" w:space="0" w:color="auto"/>
              <w:right w:val="single" w:sz="4" w:space="0" w:color="auto"/>
            </w:tcBorders>
            <w:vAlign w:val="center"/>
            <w:hideMark/>
          </w:tcPr>
          <w:p w14:paraId="01A42326" w14:textId="77777777" w:rsidR="00136A8F" w:rsidRPr="00136A8F" w:rsidRDefault="00136A8F" w:rsidP="00136A8F">
            <w:pPr>
              <w:spacing w:after="0" w:line="240" w:lineRule="auto"/>
              <w:rPr>
                <w:rFonts w:ascii="Arial" w:eastAsia="Times New Roman" w:hAnsi="Arial" w:cs="Arial"/>
                <w:b/>
                <w:bCs/>
                <w:color w:val="FFFFFF"/>
                <w:kern w:val="0"/>
                <w:sz w:val="18"/>
                <w:szCs w:val="18"/>
                <w:lang w:eastAsia="es-MX"/>
                <w14:ligatures w14:val="none"/>
              </w:rPr>
            </w:pPr>
          </w:p>
        </w:tc>
        <w:tc>
          <w:tcPr>
            <w:tcW w:w="1984" w:type="dxa"/>
            <w:tcBorders>
              <w:top w:val="nil"/>
              <w:left w:val="nil"/>
              <w:bottom w:val="single" w:sz="4" w:space="0" w:color="auto"/>
              <w:right w:val="single" w:sz="4" w:space="0" w:color="auto"/>
            </w:tcBorders>
            <w:shd w:val="clear" w:color="000000" w:fill="AB0033"/>
            <w:noWrap/>
            <w:vAlign w:val="bottom"/>
            <w:hideMark/>
          </w:tcPr>
          <w:p w14:paraId="10E5213B" w14:textId="77777777" w:rsidR="00136A8F" w:rsidRPr="00136A8F" w:rsidRDefault="00136A8F" w:rsidP="00136A8F">
            <w:pPr>
              <w:spacing w:after="0" w:line="240" w:lineRule="auto"/>
              <w:jc w:val="center"/>
              <w:rPr>
                <w:rFonts w:ascii="Arial" w:eastAsia="Times New Roman" w:hAnsi="Arial" w:cs="Arial"/>
                <w:b/>
                <w:bCs/>
                <w:color w:val="FFFFFF"/>
                <w:kern w:val="0"/>
                <w:sz w:val="18"/>
                <w:szCs w:val="18"/>
                <w:lang w:eastAsia="es-MX"/>
                <w14:ligatures w14:val="none"/>
              </w:rPr>
            </w:pPr>
            <w:r w:rsidRPr="00136A8F">
              <w:rPr>
                <w:rFonts w:ascii="Arial" w:eastAsia="Times New Roman" w:hAnsi="Arial" w:cs="Arial"/>
                <w:b/>
                <w:bCs/>
                <w:color w:val="FFFFFF"/>
                <w:kern w:val="0"/>
                <w:sz w:val="18"/>
                <w:szCs w:val="18"/>
                <w:lang w:eastAsia="es-MX"/>
                <w14:ligatures w14:val="none"/>
              </w:rPr>
              <w:t>Importe</w:t>
            </w:r>
          </w:p>
        </w:tc>
        <w:tc>
          <w:tcPr>
            <w:tcW w:w="1985" w:type="dxa"/>
            <w:tcBorders>
              <w:top w:val="nil"/>
              <w:left w:val="nil"/>
              <w:bottom w:val="single" w:sz="4" w:space="0" w:color="auto"/>
              <w:right w:val="single" w:sz="4" w:space="0" w:color="auto"/>
            </w:tcBorders>
            <w:shd w:val="clear" w:color="000000" w:fill="AB0033"/>
            <w:noWrap/>
            <w:vAlign w:val="bottom"/>
            <w:hideMark/>
          </w:tcPr>
          <w:p w14:paraId="41387F4B" w14:textId="77777777" w:rsidR="00136A8F" w:rsidRPr="00136A8F" w:rsidRDefault="00136A8F" w:rsidP="00136A8F">
            <w:pPr>
              <w:spacing w:after="0" w:line="240" w:lineRule="auto"/>
              <w:jc w:val="center"/>
              <w:rPr>
                <w:rFonts w:ascii="Arial" w:eastAsia="Times New Roman" w:hAnsi="Arial" w:cs="Arial"/>
                <w:b/>
                <w:bCs/>
                <w:color w:val="FFFFFF"/>
                <w:kern w:val="0"/>
                <w:sz w:val="18"/>
                <w:szCs w:val="18"/>
                <w:lang w:eastAsia="es-MX"/>
                <w14:ligatures w14:val="none"/>
              </w:rPr>
            </w:pPr>
            <w:r w:rsidRPr="00136A8F">
              <w:rPr>
                <w:rFonts w:ascii="Arial" w:eastAsia="Times New Roman" w:hAnsi="Arial" w:cs="Arial"/>
                <w:b/>
                <w:bCs/>
                <w:color w:val="FFFFFF"/>
                <w:kern w:val="0"/>
                <w:sz w:val="18"/>
                <w:szCs w:val="18"/>
                <w:lang w:eastAsia="es-MX"/>
                <w14:ligatures w14:val="none"/>
              </w:rPr>
              <w:t>Importe</w:t>
            </w:r>
          </w:p>
        </w:tc>
        <w:tc>
          <w:tcPr>
            <w:tcW w:w="1134" w:type="dxa"/>
            <w:tcBorders>
              <w:top w:val="nil"/>
              <w:left w:val="nil"/>
              <w:bottom w:val="single" w:sz="4" w:space="0" w:color="auto"/>
              <w:right w:val="single" w:sz="4" w:space="0" w:color="auto"/>
            </w:tcBorders>
            <w:shd w:val="clear" w:color="000000" w:fill="AB0033"/>
            <w:noWrap/>
            <w:vAlign w:val="bottom"/>
            <w:hideMark/>
          </w:tcPr>
          <w:p w14:paraId="2F7841B1" w14:textId="77777777" w:rsidR="00136A8F" w:rsidRPr="00136A8F" w:rsidRDefault="00136A8F" w:rsidP="00136A8F">
            <w:pPr>
              <w:spacing w:after="0" w:line="240" w:lineRule="auto"/>
              <w:jc w:val="center"/>
              <w:rPr>
                <w:rFonts w:ascii="Arial" w:eastAsia="Times New Roman" w:hAnsi="Arial" w:cs="Arial"/>
                <w:b/>
                <w:bCs/>
                <w:color w:val="FFFFFF"/>
                <w:kern w:val="0"/>
                <w:sz w:val="18"/>
                <w:szCs w:val="18"/>
                <w:lang w:eastAsia="es-MX"/>
                <w14:ligatures w14:val="none"/>
              </w:rPr>
            </w:pPr>
            <w:r w:rsidRPr="00136A8F">
              <w:rPr>
                <w:rFonts w:ascii="Arial" w:eastAsia="Times New Roman" w:hAnsi="Arial" w:cs="Arial"/>
                <w:b/>
                <w:bCs/>
                <w:color w:val="FFFFFF"/>
                <w:kern w:val="0"/>
                <w:sz w:val="18"/>
                <w:szCs w:val="18"/>
                <w:lang w:eastAsia="es-MX"/>
                <w14:ligatures w14:val="none"/>
              </w:rPr>
              <w:t>%</w:t>
            </w:r>
          </w:p>
        </w:tc>
      </w:tr>
      <w:tr w:rsidR="00136A8F" w:rsidRPr="00136A8F" w14:paraId="241DE587" w14:textId="77777777" w:rsidTr="00AA60CC">
        <w:trPr>
          <w:trHeight w:val="262"/>
        </w:trPr>
        <w:tc>
          <w:tcPr>
            <w:tcW w:w="4390" w:type="dxa"/>
            <w:tcBorders>
              <w:top w:val="nil"/>
              <w:left w:val="single" w:sz="4" w:space="0" w:color="auto"/>
              <w:bottom w:val="single" w:sz="4" w:space="0" w:color="auto"/>
              <w:right w:val="single" w:sz="4" w:space="0" w:color="auto"/>
            </w:tcBorders>
            <w:shd w:val="clear" w:color="000000" w:fill="D9D9D9"/>
            <w:noWrap/>
            <w:vAlign w:val="bottom"/>
            <w:hideMark/>
          </w:tcPr>
          <w:p w14:paraId="5B72D1FC" w14:textId="77777777" w:rsidR="00136A8F" w:rsidRPr="00136A8F" w:rsidRDefault="00136A8F" w:rsidP="00136A8F">
            <w:pPr>
              <w:spacing w:after="0" w:line="240" w:lineRule="auto"/>
              <w:rPr>
                <w:rFonts w:ascii="Arial" w:eastAsia="Times New Roman" w:hAnsi="Arial" w:cs="Arial"/>
                <w:b/>
                <w:bCs/>
                <w:kern w:val="0"/>
                <w:sz w:val="18"/>
                <w:szCs w:val="18"/>
                <w:lang w:eastAsia="es-MX"/>
                <w14:ligatures w14:val="none"/>
              </w:rPr>
            </w:pPr>
            <w:r w:rsidRPr="00136A8F">
              <w:rPr>
                <w:rFonts w:ascii="Arial" w:eastAsia="Times New Roman" w:hAnsi="Arial" w:cs="Arial"/>
                <w:b/>
                <w:bCs/>
                <w:kern w:val="0"/>
                <w:sz w:val="18"/>
                <w:szCs w:val="18"/>
                <w:lang w:eastAsia="es-MX"/>
                <w14:ligatures w14:val="none"/>
              </w:rPr>
              <w:t>Aportaciones</w:t>
            </w:r>
          </w:p>
        </w:tc>
        <w:tc>
          <w:tcPr>
            <w:tcW w:w="1984" w:type="dxa"/>
            <w:tcBorders>
              <w:top w:val="nil"/>
              <w:left w:val="nil"/>
              <w:bottom w:val="single" w:sz="4" w:space="0" w:color="auto"/>
              <w:right w:val="single" w:sz="4" w:space="0" w:color="auto"/>
            </w:tcBorders>
            <w:shd w:val="clear" w:color="000000" w:fill="D9D9D9"/>
            <w:noWrap/>
            <w:vAlign w:val="bottom"/>
            <w:hideMark/>
          </w:tcPr>
          <w:p w14:paraId="5EEE8F8E" w14:textId="77777777" w:rsidR="00136A8F" w:rsidRPr="00136A8F" w:rsidRDefault="00136A8F" w:rsidP="00136A8F">
            <w:pPr>
              <w:spacing w:after="0" w:line="240" w:lineRule="auto"/>
              <w:jc w:val="right"/>
              <w:rPr>
                <w:rFonts w:ascii="Arial" w:eastAsia="Times New Roman" w:hAnsi="Arial" w:cs="Arial"/>
                <w:b/>
                <w:bCs/>
                <w:kern w:val="0"/>
                <w:sz w:val="18"/>
                <w:szCs w:val="18"/>
                <w:lang w:eastAsia="es-MX"/>
                <w14:ligatures w14:val="none"/>
              </w:rPr>
            </w:pPr>
            <w:r w:rsidRPr="00136A8F">
              <w:rPr>
                <w:rFonts w:ascii="Arial" w:eastAsia="Times New Roman" w:hAnsi="Arial" w:cs="Arial"/>
                <w:b/>
                <w:bCs/>
                <w:kern w:val="0"/>
                <w:sz w:val="18"/>
                <w:szCs w:val="18"/>
                <w:lang w:eastAsia="es-MX"/>
                <w14:ligatures w14:val="none"/>
              </w:rPr>
              <w:t>14,566,820,991.23</w:t>
            </w:r>
          </w:p>
        </w:tc>
        <w:tc>
          <w:tcPr>
            <w:tcW w:w="1985" w:type="dxa"/>
            <w:tcBorders>
              <w:top w:val="nil"/>
              <w:left w:val="nil"/>
              <w:bottom w:val="single" w:sz="4" w:space="0" w:color="auto"/>
              <w:right w:val="single" w:sz="4" w:space="0" w:color="auto"/>
            </w:tcBorders>
            <w:shd w:val="clear" w:color="000000" w:fill="D9D9D9"/>
            <w:noWrap/>
            <w:vAlign w:val="bottom"/>
            <w:hideMark/>
          </w:tcPr>
          <w:p w14:paraId="010620B8" w14:textId="77777777" w:rsidR="00136A8F" w:rsidRPr="00136A8F" w:rsidRDefault="00136A8F" w:rsidP="00136A8F">
            <w:pPr>
              <w:spacing w:after="0" w:line="240" w:lineRule="auto"/>
              <w:jc w:val="right"/>
              <w:rPr>
                <w:rFonts w:ascii="Arial" w:eastAsia="Times New Roman" w:hAnsi="Arial" w:cs="Arial"/>
                <w:b/>
                <w:bCs/>
                <w:kern w:val="0"/>
                <w:sz w:val="18"/>
                <w:szCs w:val="18"/>
                <w:lang w:eastAsia="es-MX"/>
                <w14:ligatures w14:val="none"/>
              </w:rPr>
            </w:pPr>
            <w:r w:rsidRPr="00136A8F">
              <w:rPr>
                <w:rFonts w:ascii="Arial" w:eastAsia="Times New Roman" w:hAnsi="Arial" w:cs="Arial"/>
                <w:b/>
                <w:bCs/>
                <w:kern w:val="0"/>
                <w:sz w:val="18"/>
                <w:szCs w:val="18"/>
                <w:lang w:eastAsia="es-MX"/>
                <w14:ligatures w14:val="none"/>
              </w:rPr>
              <w:t>15,709,836,054.32</w:t>
            </w:r>
          </w:p>
        </w:tc>
        <w:tc>
          <w:tcPr>
            <w:tcW w:w="1134" w:type="dxa"/>
            <w:tcBorders>
              <w:top w:val="nil"/>
              <w:left w:val="nil"/>
              <w:bottom w:val="single" w:sz="4" w:space="0" w:color="auto"/>
              <w:right w:val="single" w:sz="4" w:space="0" w:color="auto"/>
            </w:tcBorders>
            <w:shd w:val="clear" w:color="000000" w:fill="D9D9D9"/>
            <w:noWrap/>
            <w:vAlign w:val="bottom"/>
            <w:hideMark/>
          </w:tcPr>
          <w:p w14:paraId="6321D60F" w14:textId="77777777" w:rsidR="00136A8F" w:rsidRPr="00136A8F" w:rsidRDefault="00136A8F" w:rsidP="00136A8F">
            <w:pPr>
              <w:spacing w:after="0" w:line="240" w:lineRule="auto"/>
              <w:jc w:val="right"/>
              <w:rPr>
                <w:rFonts w:ascii="Arial" w:eastAsia="Times New Roman" w:hAnsi="Arial" w:cs="Arial"/>
                <w:b/>
                <w:bCs/>
                <w:kern w:val="0"/>
                <w:sz w:val="18"/>
                <w:szCs w:val="18"/>
                <w:lang w:eastAsia="es-MX"/>
                <w14:ligatures w14:val="none"/>
              </w:rPr>
            </w:pPr>
            <w:r w:rsidRPr="00136A8F">
              <w:rPr>
                <w:rFonts w:ascii="Arial" w:eastAsia="Times New Roman" w:hAnsi="Arial" w:cs="Arial"/>
                <w:b/>
                <w:bCs/>
                <w:kern w:val="0"/>
                <w:sz w:val="18"/>
                <w:szCs w:val="18"/>
                <w:lang w:eastAsia="es-MX"/>
                <w14:ligatures w14:val="none"/>
              </w:rPr>
              <w:t>107.85%</w:t>
            </w:r>
          </w:p>
        </w:tc>
      </w:tr>
      <w:tr w:rsidR="00136A8F" w:rsidRPr="00136A8F" w14:paraId="0768FC32" w14:textId="77777777" w:rsidTr="00AA60CC">
        <w:trPr>
          <w:trHeight w:val="510"/>
        </w:trPr>
        <w:tc>
          <w:tcPr>
            <w:tcW w:w="4390" w:type="dxa"/>
            <w:tcBorders>
              <w:top w:val="nil"/>
              <w:left w:val="single" w:sz="4" w:space="0" w:color="auto"/>
              <w:bottom w:val="single" w:sz="4" w:space="0" w:color="auto"/>
              <w:right w:val="single" w:sz="4" w:space="0" w:color="auto"/>
            </w:tcBorders>
            <w:vAlign w:val="bottom"/>
            <w:hideMark/>
          </w:tcPr>
          <w:p w14:paraId="29FB3673" w14:textId="77777777" w:rsidR="00136A8F" w:rsidRPr="00136A8F" w:rsidRDefault="00136A8F" w:rsidP="00136A8F">
            <w:pPr>
              <w:spacing w:after="0" w:line="240" w:lineRule="auto"/>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Fondo de Aportaciones para la Nómina Educativa y Gasto Operativo</w:t>
            </w:r>
          </w:p>
        </w:tc>
        <w:tc>
          <w:tcPr>
            <w:tcW w:w="1984" w:type="dxa"/>
            <w:tcBorders>
              <w:top w:val="nil"/>
              <w:left w:val="nil"/>
              <w:bottom w:val="single" w:sz="4" w:space="0" w:color="auto"/>
              <w:right w:val="single" w:sz="4" w:space="0" w:color="auto"/>
            </w:tcBorders>
            <w:noWrap/>
            <w:vAlign w:val="bottom"/>
            <w:hideMark/>
          </w:tcPr>
          <w:p w14:paraId="25649B6B" w14:textId="77777777" w:rsidR="00136A8F" w:rsidRPr="00136A8F" w:rsidRDefault="00136A8F" w:rsidP="00136A8F">
            <w:pPr>
              <w:spacing w:after="0" w:line="240" w:lineRule="auto"/>
              <w:jc w:val="right"/>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7,777,141,332.15</w:t>
            </w:r>
          </w:p>
        </w:tc>
        <w:tc>
          <w:tcPr>
            <w:tcW w:w="1985" w:type="dxa"/>
            <w:tcBorders>
              <w:top w:val="nil"/>
              <w:left w:val="nil"/>
              <w:bottom w:val="single" w:sz="4" w:space="0" w:color="auto"/>
              <w:right w:val="single" w:sz="4" w:space="0" w:color="auto"/>
            </w:tcBorders>
            <w:noWrap/>
            <w:vAlign w:val="bottom"/>
            <w:hideMark/>
          </w:tcPr>
          <w:p w14:paraId="1FAB0FD8" w14:textId="77777777" w:rsidR="00136A8F" w:rsidRPr="00136A8F" w:rsidRDefault="00136A8F" w:rsidP="00136A8F">
            <w:pPr>
              <w:spacing w:after="0" w:line="240" w:lineRule="auto"/>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 xml:space="preserve">        8,998,435,709.16 </w:t>
            </w:r>
          </w:p>
        </w:tc>
        <w:tc>
          <w:tcPr>
            <w:tcW w:w="1134" w:type="dxa"/>
            <w:tcBorders>
              <w:top w:val="nil"/>
              <w:left w:val="nil"/>
              <w:bottom w:val="single" w:sz="4" w:space="0" w:color="auto"/>
              <w:right w:val="single" w:sz="4" w:space="0" w:color="auto"/>
            </w:tcBorders>
            <w:noWrap/>
            <w:vAlign w:val="bottom"/>
            <w:hideMark/>
          </w:tcPr>
          <w:p w14:paraId="008B9F40" w14:textId="77777777" w:rsidR="00136A8F" w:rsidRPr="00136A8F" w:rsidRDefault="00136A8F" w:rsidP="00136A8F">
            <w:pPr>
              <w:spacing w:after="0" w:line="240" w:lineRule="auto"/>
              <w:jc w:val="right"/>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115.70%</w:t>
            </w:r>
          </w:p>
        </w:tc>
      </w:tr>
      <w:tr w:rsidR="00136A8F" w:rsidRPr="00136A8F" w14:paraId="320A662A" w14:textId="77777777" w:rsidTr="00AA60CC">
        <w:trPr>
          <w:trHeight w:val="255"/>
        </w:trPr>
        <w:tc>
          <w:tcPr>
            <w:tcW w:w="4390" w:type="dxa"/>
            <w:tcBorders>
              <w:top w:val="nil"/>
              <w:left w:val="single" w:sz="4" w:space="0" w:color="auto"/>
              <w:bottom w:val="single" w:sz="4" w:space="0" w:color="auto"/>
              <w:right w:val="single" w:sz="4" w:space="0" w:color="auto"/>
            </w:tcBorders>
            <w:shd w:val="clear" w:color="000000" w:fill="D9D9D9"/>
            <w:noWrap/>
            <w:vAlign w:val="bottom"/>
            <w:hideMark/>
          </w:tcPr>
          <w:p w14:paraId="619FC881" w14:textId="77777777" w:rsidR="00136A8F" w:rsidRPr="00136A8F" w:rsidRDefault="00136A8F" w:rsidP="00136A8F">
            <w:pPr>
              <w:spacing w:after="0" w:line="240" w:lineRule="auto"/>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Fondo de Aportaciones para los Servicios de Salud</w:t>
            </w:r>
          </w:p>
        </w:tc>
        <w:tc>
          <w:tcPr>
            <w:tcW w:w="1984" w:type="dxa"/>
            <w:tcBorders>
              <w:top w:val="nil"/>
              <w:left w:val="nil"/>
              <w:bottom w:val="single" w:sz="4" w:space="0" w:color="auto"/>
              <w:right w:val="single" w:sz="4" w:space="0" w:color="auto"/>
            </w:tcBorders>
            <w:shd w:val="clear" w:color="000000" w:fill="D9D9D9"/>
            <w:noWrap/>
            <w:vAlign w:val="bottom"/>
            <w:hideMark/>
          </w:tcPr>
          <w:p w14:paraId="49DBE700" w14:textId="77777777" w:rsidR="00136A8F" w:rsidRPr="00136A8F" w:rsidRDefault="00136A8F" w:rsidP="00136A8F">
            <w:pPr>
              <w:spacing w:after="0" w:line="240" w:lineRule="auto"/>
              <w:jc w:val="right"/>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491,309,752.10</w:t>
            </w:r>
          </w:p>
        </w:tc>
        <w:tc>
          <w:tcPr>
            <w:tcW w:w="1985" w:type="dxa"/>
            <w:tcBorders>
              <w:top w:val="nil"/>
              <w:left w:val="nil"/>
              <w:bottom w:val="single" w:sz="4" w:space="0" w:color="auto"/>
              <w:right w:val="single" w:sz="4" w:space="0" w:color="auto"/>
            </w:tcBorders>
            <w:shd w:val="clear" w:color="000000" w:fill="D9D9D9"/>
            <w:noWrap/>
            <w:vAlign w:val="bottom"/>
            <w:hideMark/>
          </w:tcPr>
          <w:p w14:paraId="1439BCF9" w14:textId="77777777" w:rsidR="00136A8F" w:rsidRPr="00136A8F" w:rsidRDefault="00136A8F" w:rsidP="00136A8F">
            <w:pPr>
              <w:spacing w:after="0" w:line="240" w:lineRule="auto"/>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 xml:space="preserve">          969,059,139.55 </w:t>
            </w:r>
          </w:p>
        </w:tc>
        <w:tc>
          <w:tcPr>
            <w:tcW w:w="1134" w:type="dxa"/>
            <w:tcBorders>
              <w:top w:val="nil"/>
              <w:left w:val="nil"/>
              <w:bottom w:val="single" w:sz="4" w:space="0" w:color="auto"/>
              <w:right w:val="single" w:sz="4" w:space="0" w:color="auto"/>
            </w:tcBorders>
            <w:shd w:val="clear" w:color="000000" w:fill="D9D9D9"/>
            <w:noWrap/>
            <w:vAlign w:val="bottom"/>
            <w:hideMark/>
          </w:tcPr>
          <w:p w14:paraId="06136B5C" w14:textId="77777777" w:rsidR="00136A8F" w:rsidRPr="00136A8F" w:rsidRDefault="00136A8F" w:rsidP="00136A8F">
            <w:pPr>
              <w:spacing w:after="0" w:line="240" w:lineRule="auto"/>
              <w:jc w:val="right"/>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197.24%</w:t>
            </w:r>
          </w:p>
        </w:tc>
      </w:tr>
      <w:tr w:rsidR="00136A8F" w:rsidRPr="00136A8F" w14:paraId="677DBF1D" w14:textId="77777777" w:rsidTr="00AA60CC">
        <w:trPr>
          <w:trHeight w:val="255"/>
        </w:trPr>
        <w:tc>
          <w:tcPr>
            <w:tcW w:w="4390" w:type="dxa"/>
            <w:tcBorders>
              <w:top w:val="nil"/>
              <w:left w:val="single" w:sz="4" w:space="0" w:color="auto"/>
              <w:bottom w:val="single" w:sz="4" w:space="0" w:color="auto"/>
              <w:right w:val="single" w:sz="4" w:space="0" w:color="auto"/>
            </w:tcBorders>
            <w:noWrap/>
            <w:vAlign w:val="bottom"/>
            <w:hideMark/>
          </w:tcPr>
          <w:p w14:paraId="53FE2682" w14:textId="77777777" w:rsidR="00136A8F" w:rsidRPr="00136A8F" w:rsidRDefault="00136A8F" w:rsidP="00136A8F">
            <w:pPr>
              <w:spacing w:after="0" w:line="240" w:lineRule="auto"/>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Fondo de Aportaciones para la Infraestructura Social</w:t>
            </w:r>
          </w:p>
        </w:tc>
        <w:tc>
          <w:tcPr>
            <w:tcW w:w="1984" w:type="dxa"/>
            <w:tcBorders>
              <w:top w:val="nil"/>
              <w:left w:val="nil"/>
              <w:bottom w:val="single" w:sz="4" w:space="0" w:color="auto"/>
              <w:right w:val="single" w:sz="4" w:space="0" w:color="auto"/>
            </w:tcBorders>
            <w:noWrap/>
            <w:vAlign w:val="bottom"/>
            <w:hideMark/>
          </w:tcPr>
          <w:p w14:paraId="58182D7B" w14:textId="77777777" w:rsidR="00136A8F" w:rsidRPr="00136A8F" w:rsidRDefault="00136A8F" w:rsidP="00136A8F">
            <w:pPr>
              <w:spacing w:after="0" w:line="240" w:lineRule="auto"/>
              <w:jc w:val="right"/>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3,601,906,530.72</w:t>
            </w:r>
          </w:p>
        </w:tc>
        <w:tc>
          <w:tcPr>
            <w:tcW w:w="1985" w:type="dxa"/>
            <w:tcBorders>
              <w:top w:val="nil"/>
              <w:left w:val="nil"/>
              <w:bottom w:val="single" w:sz="4" w:space="0" w:color="auto"/>
              <w:right w:val="single" w:sz="4" w:space="0" w:color="auto"/>
            </w:tcBorders>
            <w:noWrap/>
            <w:vAlign w:val="bottom"/>
            <w:hideMark/>
          </w:tcPr>
          <w:p w14:paraId="3295A2DF" w14:textId="77777777" w:rsidR="00136A8F" w:rsidRPr="00136A8F" w:rsidRDefault="00136A8F" w:rsidP="00136A8F">
            <w:pPr>
              <w:spacing w:after="0" w:line="240" w:lineRule="auto"/>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 xml:space="preserve">        3,370,438,999.76 </w:t>
            </w:r>
          </w:p>
        </w:tc>
        <w:tc>
          <w:tcPr>
            <w:tcW w:w="1134" w:type="dxa"/>
            <w:tcBorders>
              <w:top w:val="nil"/>
              <w:left w:val="nil"/>
              <w:bottom w:val="single" w:sz="4" w:space="0" w:color="auto"/>
              <w:right w:val="single" w:sz="4" w:space="0" w:color="auto"/>
            </w:tcBorders>
            <w:noWrap/>
            <w:vAlign w:val="bottom"/>
            <w:hideMark/>
          </w:tcPr>
          <w:p w14:paraId="31962106" w14:textId="77777777" w:rsidR="00136A8F" w:rsidRPr="00136A8F" w:rsidRDefault="00136A8F" w:rsidP="00136A8F">
            <w:pPr>
              <w:spacing w:after="0" w:line="240" w:lineRule="auto"/>
              <w:jc w:val="right"/>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93.57%</w:t>
            </w:r>
          </w:p>
        </w:tc>
      </w:tr>
      <w:tr w:rsidR="00136A8F" w:rsidRPr="00136A8F" w14:paraId="2D28F017" w14:textId="77777777" w:rsidTr="00AA60CC">
        <w:trPr>
          <w:trHeight w:val="493"/>
        </w:trPr>
        <w:tc>
          <w:tcPr>
            <w:tcW w:w="4390" w:type="dxa"/>
            <w:tcBorders>
              <w:top w:val="nil"/>
              <w:left w:val="single" w:sz="4" w:space="0" w:color="auto"/>
              <w:bottom w:val="single" w:sz="4" w:space="0" w:color="auto"/>
              <w:right w:val="single" w:sz="4" w:space="0" w:color="auto"/>
            </w:tcBorders>
            <w:shd w:val="clear" w:color="000000" w:fill="D9D9D9"/>
            <w:vAlign w:val="bottom"/>
            <w:hideMark/>
          </w:tcPr>
          <w:p w14:paraId="5E19B6DE" w14:textId="77777777" w:rsidR="00136A8F" w:rsidRPr="00136A8F" w:rsidRDefault="00136A8F" w:rsidP="00136A8F">
            <w:pPr>
              <w:spacing w:after="0" w:line="240" w:lineRule="auto"/>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Fondo de Aportaciones para el Fortalecimiento de los Municipios y de las Demarcaciones Territoriales del Distrito Federal</w:t>
            </w:r>
          </w:p>
        </w:tc>
        <w:tc>
          <w:tcPr>
            <w:tcW w:w="1984" w:type="dxa"/>
            <w:tcBorders>
              <w:top w:val="nil"/>
              <w:left w:val="nil"/>
              <w:bottom w:val="single" w:sz="4" w:space="0" w:color="auto"/>
              <w:right w:val="single" w:sz="4" w:space="0" w:color="auto"/>
            </w:tcBorders>
            <w:shd w:val="clear" w:color="000000" w:fill="D9D9D9"/>
            <w:noWrap/>
            <w:vAlign w:val="bottom"/>
            <w:hideMark/>
          </w:tcPr>
          <w:p w14:paraId="1B893BBE" w14:textId="77777777" w:rsidR="00136A8F" w:rsidRPr="00136A8F" w:rsidRDefault="00136A8F" w:rsidP="00136A8F">
            <w:pPr>
              <w:spacing w:after="0" w:line="240" w:lineRule="auto"/>
              <w:jc w:val="right"/>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1,074,791,008.96</w:t>
            </w:r>
          </w:p>
        </w:tc>
        <w:tc>
          <w:tcPr>
            <w:tcW w:w="1985" w:type="dxa"/>
            <w:tcBorders>
              <w:top w:val="nil"/>
              <w:left w:val="nil"/>
              <w:bottom w:val="single" w:sz="4" w:space="0" w:color="auto"/>
              <w:right w:val="single" w:sz="4" w:space="0" w:color="auto"/>
            </w:tcBorders>
            <w:shd w:val="clear" w:color="000000" w:fill="D9D9D9"/>
            <w:noWrap/>
            <w:vAlign w:val="bottom"/>
            <w:hideMark/>
          </w:tcPr>
          <w:p w14:paraId="7AC59A5F" w14:textId="77777777" w:rsidR="00136A8F" w:rsidRPr="00136A8F" w:rsidRDefault="00136A8F" w:rsidP="00136A8F">
            <w:pPr>
              <w:spacing w:after="0" w:line="240" w:lineRule="auto"/>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 xml:space="preserve">          930,955,951.62 </w:t>
            </w:r>
          </w:p>
        </w:tc>
        <w:tc>
          <w:tcPr>
            <w:tcW w:w="1134" w:type="dxa"/>
            <w:tcBorders>
              <w:top w:val="nil"/>
              <w:left w:val="nil"/>
              <w:bottom w:val="single" w:sz="4" w:space="0" w:color="auto"/>
              <w:right w:val="single" w:sz="4" w:space="0" w:color="auto"/>
            </w:tcBorders>
            <w:shd w:val="clear" w:color="000000" w:fill="D9D9D9"/>
            <w:noWrap/>
            <w:vAlign w:val="bottom"/>
            <w:hideMark/>
          </w:tcPr>
          <w:p w14:paraId="09C0311E" w14:textId="77777777" w:rsidR="00136A8F" w:rsidRPr="00136A8F" w:rsidRDefault="00136A8F" w:rsidP="00136A8F">
            <w:pPr>
              <w:spacing w:after="0" w:line="240" w:lineRule="auto"/>
              <w:jc w:val="right"/>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86.62%</w:t>
            </w:r>
          </w:p>
        </w:tc>
      </w:tr>
      <w:tr w:rsidR="00136A8F" w:rsidRPr="00136A8F" w14:paraId="099D8FF8" w14:textId="77777777" w:rsidTr="00AA60CC">
        <w:trPr>
          <w:trHeight w:val="147"/>
        </w:trPr>
        <w:tc>
          <w:tcPr>
            <w:tcW w:w="4390" w:type="dxa"/>
            <w:tcBorders>
              <w:top w:val="nil"/>
              <w:left w:val="single" w:sz="4" w:space="0" w:color="auto"/>
              <w:bottom w:val="single" w:sz="4" w:space="0" w:color="auto"/>
              <w:right w:val="single" w:sz="4" w:space="0" w:color="auto"/>
            </w:tcBorders>
            <w:noWrap/>
            <w:vAlign w:val="bottom"/>
            <w:hideMark/>
          </w:tcPr>
          <w:p w14:paraId="168F71EF" w14:textId="77777777" w:rsidR="00136A8F" w:rsidRPr="00136A8F" w:rsidRDefault="00136A8F" w:rsidP="00136A8F">
            <w:pPr>
              <w:spacing w:after="0" w:line="240" w:lineRule="auto"/>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Fondo de Aportaciones Múltiples</w:t>
            </w:r>
          </w:p>
        </w:tc>
        <w:tc>
          <w:tcPr>
            <w:tcW w:w="1984" w:type="dxa"/>
            <w:tcBorders>
              <w:top w:val="nil"/>
              <w:left w:val="nil"/>
              <w:bottom w:val="single" w:sz="4" w:space="0" w:color="auto"/>
              <w:right w:val="single" w:sz="4" w:space="0" w:color="auto"/>
            </w:tcBorders>
            <w:noWrap/>
            <w:vAlign w:val="bottom"/>
            <w:hideMark/>
          </w:tcPr>
          <w:p w14:paraId="18128D8E" w14:textId="77777777" w:rsidR="00136A8F" w:rsidRPr="00136A8F" w:rsidRDefault="00136A8F" w:rsidP="00136A8F">
            <w:pPr>
              <w:spacing w:after="0" w:line="240" w:lineRule="auto"/>
              <w:jc w:val="right"/>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502,752,384.40</w:t>
            </w:r>
          </w:p>
        </w:tc>
        <w:tc>
          <w:tcPr>
            <w:tcW w:w="1985" w:type="dxa"/>
            <w:tcBorders>
              <w:top w:val="nil"/>
              <w:left w:val="nil"/>
              <w:bottom w:val="single" w:sz="4" w:space="0" w:color="auto"/>
              <w:right w:val="single" w:sz="4" w:space="0" w:color="auto"/>
            </w:tcBorders>
            <w:noWrap/>
            <w:vAlign w:val="bottom"/>
            <w:hideMark/>
          </w:tcPr>
          <w:p w14:paraId="1ACD4F1D" w14:textId="77777777" w:rsidR="00136A8F" w:rsidRPr="00136A8F" w:rsidRDefault="00136A8F" w:rsidP="00136A8F">
            <w:pPr>
              <w:spacing w:after="0" w:line="240" w:lineRule="auto"/>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 xml:space="preserve">          449,837,221.33 </w:t>
            </w:r>
          </w:p>
        </w:tc>
        <w:tc>
          <w:tcPr>
            <w:tcW w:w="1134" w:type="dxa"/>
            <w:tcBorders>
              <w:top w:val="nil"/>
              <w:left w:val="nil"/>
              <w:bottom w:val="single" w:sz="4" w:space="0" w:color="auto"/>
              <w:right w:val="single" w:sz="4" w:space="0" w:color="auto"/>
            </w:tcBorders>
            <w:noWrap/>
            <w:vAlign w:val="bottom"/>
            <w:hideMark/>
          </w:tcPr>
          <w:p w14:paraId="5160CCCC" w14:textId="77777777" w:rsidR="00136A8F" w:rsidRPr="00136A8F" w:rsidRDefault="00136A8F" w:rsidP="00136A8F">
            <w:pPr>
              <w:spacing w:after="0" w:line="240" w:lineRule="auto"/>
              <w:jc w:val="right"/>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89.47%</w:t>
            </w:r>
          </w:p>
        </w:tc>
      </w:tr>
      <w:tr w:rsidR="00136A8F" w:rsidRPr="00136A8F" w14:paraId="50F41BD4" w14:textId="77777777" w:rsidTr="00AA60CC">
        <w:trPr>
          <w:trHeight w:val="363"/>
        </w:trPr>
        <w:tc>
          <w:tcPr>
            <w:tcW w:w="4390" w:type="dxa"/>
            <w:tcBorders>
              <w:top w:val="nil"/>
              <w:left w:val="single" w:sz="4" w:space="0" w:color="auto"/>
              <w:bottom w:val="single" w:sz="4" w:space="0" w:color="auto"/>
              <w:right w:val="single" w:sz="4" w:space="0" w:color="auto"/>
            </w:tcBorders>
            <w:shd w:val="clear" w:color="000000" w:fill="D9D9D9"/>
            <w:vAlign w:val="bottom"/>
            <w:hideMark/>
          </w:tcPr>
          <w:p w14:paraId="7CA8D91C" w14:textId="77777777" w:rsidR="00136A8F" w:rsidRPr="00136A8F" w:rsidRDefault="00136A8F" w:rsidP="00136A8F">
            <w:pPr>
              <w:spacing w:after="0" w:line="240" w:lineRule="auto"/>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Fondo de Aportaciones para la Educación Tecnológica y de Adultos</w:t>
            </w:r>
          </w:p>
        </w:tc>
        <w:tc>
          <w:tcPr>
            <w:tcW w:w="1984" w:type="dxa"/>
            <w:tcBorders>
              <w:top w:val="nil"/>
              <w:left w:val="nil"/>
              <w:bottom w:val="single" w:sz="4" w:space="0" w:color="auto"/>
              <w:right w:val="single" w:sz="4" w:space="0" w:color="auto"/>
            </w:tcBorders>
            <w:shd w:val="clear" w:color="000000" w:fill="D9D9D9"/>
            <w:noWrap/>
            <w:vAlign w:val="bottom"/>
            <w:hideMark/>
          </w:tcPr>
          <w:p w14:paraId="749DF3F7" w14:textId="77777777" w:rsidR="00136A8F" w:rsidRPr="00136A8F" w:rsidRDefault="00136A8F" w:rsidP="00136A8F">
            <w:pPr>
              <w:spacing w:after="0" w:line="240" w:lineRule="auto"/>
              <w:jc w:val="right"/>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105,909,043.74</w:t>
            </w:r>
          </w:p>
        </w:tc>
        <w:tc>
          <w:tcPr>
            <w:tcW w:w="1985" w:type="dxa"/>
            <w:tcBorders>
              <w:top w:val="nil"/>
              <w:left w:val="nil"/>
              <w:bottom w:val="single" w:sz="4" w:space="0" w:color="auto"/>
              <w:right w:val="single" w:sz="4" w:space="0" w:color="auto"/>
            </w:tcBorders>
            <w:shd w:val="clear" w:color="000000" w:fill="D9D9D9"/>
            <w:noWrap/>
            <w:vAlign w:val="bottom"/>
            <w:hideMark/>
          </w:tcPr>
          <w:p w14:paraId="6AA5410A" w14:textId="77777777" w:rsidR="00136A8F" w:rsidRPr="00136A8F" w:rsidRDefault="00136A8F" w:rsidP="00136A8F">
            <w:pPr>
              <w:spacing w:after="0" w:line="240" w:lineRule="auto"/>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 xml:space="preserve">            99,031,103.71 </w:t>
            </w:r>
          </w:p>
        </w:tc>
        <w:tc>
          <w:tcPr>
            <w:tcW w:w="1134" w:type="dxa"/>
            <w:tcBorders>
              <w:top w:val="nil"/>
              <w:left w:val="nil"/>
              <w:bottom w:val="single" w:sz="4" w:space="0" w:color="auto"/>
              <w:right w:val="single" w:sz="4" w:space="0" w:color="auto"/>
            </w:tcBorders>
            <w:shd w:val="clear" w:color="000000" w:fill="D9D9D9"/>
            <w:noWrap/>
            <w:vAlign w:val="bottom"/>
            <w:hideMark/>
          </w:tcPr>
          <w:p w14:paraId="60BD15A4" w14:textId="77777777" w:rsidR="00136A8F" w:rsidRPr="00136A8F" w:rsidRDefault="00136A8F" w:rsidP="00136A8F">
            <w:pPr>
              <w:spacing w:after="0" w:line="240" w:lineRule="auto"/>
              <w:jc w:val="right"/>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93.51%</w:t>
            </w:r>
          </w:p>
        </w:tc>
      </w:tr>
      <w:tr w:rsidR="00136A8F" w:rsidRPr="00136A8F" w14:paraId="211EAA51" w14:textId="77777777" w:rsidTr="00AA60CC">
        <w:trPr>
          <w:trHeight w:val="356"/>
        </w:trPr>
        <w:tc>
          <w:tcPr>
            <w:tcW w:w="4390" w:type="dxa"/>
            <w:tcBorders>
              <w:top w:val="nil"/>
              <w:left w:val="single" w:sz="4" w:space="0" w:color="auto"/>
              <w:bottom w:val="single" w:sz="4" w:space="0" w:color="auto"/>
              <w:right w:val="single" w:sz="4" w:space="0" w:color="auto"/>
            </w:tcBorders>
            <w:vAlign w:val="bottom"/>
            <w:hideMark/>
          </w:tcPr>
          <w:p w14:paraId="3FDC7965" w14:textId="77777777" w:rsidR="00136A8F" w:rsidRPr="00136A8F" w:rsidRDefault="00136A8F" w:rsidP="00136A8F">
            <w:pPr>
              <w:spacing w:after="0" w:line="240" w:lineRule="auto"/>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Fondo de Aportaciones para la Seguridad Pública de los Estados y del Distrito Federal</w:t>
            </w:r>
          </w:p>
        </w:tc>
        <w:tc>
          <w:tcPr>
            <w:tcW w:w="1984" w:type="dxa"/>
            <w:tcBorders>
              <w:top w:val="nil"/>
              <w:left w:val="nil"/>
              <w:bottom w:val="single" w:sz="4" w:space="0" w:color="auto"/>
              <w:right w:val="single" w:sz="4" w:space="0" w:color="auto"/>
            </w:tcBorders>
            <w:noWrap/>
            <w:vAlign w:val="bottom"/>
            <w:hideMark/>
          </w:tcPr>
          <w:p w14:paraId="0829E851" w14:textId="77777777" w:rsidR="00136A8F" w:rsidRPr="00136A8F" w:rsidRDefault="00136A8F" w:rsidP="00136A8F">
            <w:pPr>
              <w:spacing w:after="0" w:line="240" w:lineRule="auto"/>
              <w:jc w:val="right"/>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78,558,736.55</w:t>
            </w:r>
          </w:p>
        </w:tc>
        <w:tc>
          <w:tcPr>
            <w:tcW w:w="1985" w:type="dxa"/>
            <w:tcBorders>
              <w:top w:val="nil"/>
              <w:left w:val="nil"/>
              <w:bottom w:val="single" w:sz="4" w:space="0" w:color="auto"/>
              <w:right w:val="single" w:sz="4" w:space="0" w:color="auto"/>
            </w:tcBorders>
            <w:noWrap/>
            <w:vAlign w:val="bottom"/>
            <w:hideMark/>
          </w:tcPr>
          <w:p w14:paraId="4AC22FFC" w14:textId="77777777" w:rsidR="00136A8F" w:rsidRPr="00136A8F" w:rsidRDefault="00136A8F" w:rsidP="00136A8F">
            <w:pPr>
              <w:spacing w:after="0" w:line="240" w:lineRule="auto"/>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 xml:space="preserve">            84,405,690.47 </w:t>
            </w:r>
          </w:p>
        </w:tc>
        <w:tc>
          <w:tcPr>
            <w:tcW w:w="1134" w:type="dxa"/>
            <w:tcBorders>
              <w:top w:val="nil"/>
              <w:left w:val="nil"/>
              <w:bottom w:val="single" w:sz="4" w:space="0" w:color="auto"/>
              <w:right w:val="single" w:sz="4" w:space="0" w:color="auto"/>
            </w:tcBorders>
            <w:noWrap/>
            <w:vAlign w:val="bottom"/>
            <w:hideMark/>
          </w:tcPr>
          <w:p w14:paraId="16B7B81B" w14:textId="77777777" w:rsidR="00136A8F" w:rsidRPr="00136A8F" w:rsidRDefault="00136A8F" w:rsidP="00136A8F">
            <w:pPr>
              <w:spacing w:after="0" w:line="240" w:lineRule="auto"/>
              <w:jc w:val="right"/>
              <w:rPr>
                <w:rFonts w:ascii="Arial" w:eastAsia="Times New Roman" w:hAnsi="Arial" w:cs="Arial"/>
                <w:kern w:val="0"/>
                <w:sz w:val="18"/>
                <w:szCs w:val="18"/>
                <w:lang w:eastAsia="es-MX"/>
                <w14:ligatures w14:val="none"/>
              </w:rPr>
            </w:pPr>
            <w:r w:rsidRPr="00136A8F">
              <w:rPr>
                <w:rFonts w:ascii="Arial" w:eastAsia="Times New Roman" w:hAnsi="Arial" w:cs="Arial"/>
                <w:kern w:val="0"/>
                <w:sz w:val="18"/>
                <w:szCs w:val="18"/>
                <w:lang w:eastAsia="es-MX"/>
                <w14:ligatures w14:val="none"/>
              </w:rPr>
              <w:t>107.44%</w:t>
            </w:r>
          </w:p>
        </w:tc>
      </w:tr>
    </w:tbl>
    <w:p w14:paraId="26AE2666" w14:textId="1B617DD9" w:rsidR="00136A8F" w:rsidRDefault="00136A8F" w:rsidP="00E74526">
      <w:pPr>
        <w:spacing w:before="120" w:after="240" w:line="360" w:lineRule="auto"/>
        <w:ind w:firstLine="284"/>
        <w:jc w:val="both"/>
        <w:rPr>
          <w:rFonts w:ascii="Helvetica" w:eastAsia="Calibri" w:hAnsi="Helvetica" w:cs="Times New Roman"/>
          <w:b/>
          <w:bCs/>
          <w:kern w:val="0"/>
          <w:sz w:val="24"/>
          <w14:ligatures w14:val="none"/>
        </w:rPr>
      </w:pPr>
      <w:r w:rsidRPr="00136A8F">
        <w:rPr>
          <w:rFonts w:ascii="Arial" w:eastAsia="Times New Roman" w:hAnsi="Arial" w:cs="Arial"/>
          <w:b/>
          <w:noProof/>
          <w:kern w:val="0"/>
          <w:sz w:val="24"/>
          <w:szCs w:val="26"/>
          <w14:ligatures w14:val="none"/>
        </w:rPr>
        <mc:AlternateContent>
          <mc:Choice Requires="wps">
            <w:drawing>
              <wp:anchor distT="0" distB="0" distL="114300" distR="114300" simplePos="0" relativeHeight="251809792" behindDoc="1" locked="0" layoutInCell="1" allowOverlap="1" wp14:anchorId="0625C0EE" wp14:editId="4F8FA480">
                <wp:simplePos x="0" y="0"/>
                <wp:positionH relativeFrom="margin">
                  <wp:align>left</wp:align>
                </wp:positionH>
                <wp:positionV relativeFrom="paragraph">
                  <wp:posOffset>74428</wp:posOffset>
                </wp:positionV>
                <wp:extent cx="4657725" cy="428625"/>
                <wp:effectExtent l="0" t="0" r="0" b="0"/>
                <wp:wrapNone/>
                <wp:docPr id="34" name="Rectángulo 34"/>
                <wp:cNvGraphicFramePr/>
                <a:graphic xmlns:a="http://schemas.openxmlformats.org/drawingml/2006/main">
                  <a:graphicData uri="http://schemas.microsoft.com/office/word/2010/wordprocessingShape">
                    <wps:wsp>
                      <wps:cNvSpPr/>
                      <wps:spPr>
                        <a:xfrm>
                          <a:off x="0" y="0"/>
                          <a:ext cx="4657725" cy="428625"/>
                        </a:xfrm>
                        <a:prstGeom prst="rect">
                          <a:avLst/>
                        </a:prstGeom>
                        <a:noFill/>
                        <a:ln w="12700" cap="flat" cmpd="sng" algn="ctr">
                          <a:noFill/>
                          <a:prstDash val="solid"/>
                          <a:miter lim="800000"/>
                        </a:ln>
                        <a:effectLst/>
                      </wps:spPr>
                      <wps:txbx>
                        <w:txbxContent>
                          <w:p w14:paraId="07545CB7" w14:textId="77777777" w:rsidR="00136A8F" w:rsidRPr="00136A8F" w:rsidRDefault="00136A8F" w:rsidP="00136A8F">
                            <w:pPr>
                              <w:spacing w:after="0" w:line="240" w:lineRule="atLeast"/>
                              <w:jc w:val="center"/>
                              <w:rPr>
                                <w:rFonts w:ascii="Arial" w:hAnsi="Arial" w:cs="Arial"/>
                                <w:color w:val="000000"/>
                                <w:sz w:val="16"/>
                                <w:szCs w:val="14"/>
                              </w:rPr>
                            </w:pPr>
                            <w:r w:rsidRPr="00136A8F">
                              <w:rPr>
                                <w:rFonts w:ascii="Arial" w:hAnsi="Arial" w:cs="Arial"/>
                                <w:color w:val="000000"/>
                                <w:sz w:val="16"/>
                                <w:szCs w:val="14"/>
                              </w:rPr>
                              <w:t>Fuente: Departamento de Control de Ingresos, Subsecretaría de Ingresos.</w:t>
                            </w:r>
                          </w:p>
                          <w:p w14:paraId="4A7591A7" w14:textId="77777777" w:rsidR="00136A8F" w:rsidRPr="00136A8F" w:rsidRDefault="00136A8F" w:rsidP="00136A8F">
                            <w:pPr>
                              <w:spacing w:after="0" w:line="240" w:lineRule="atLeast"/>
                              <w:jc w:val="center"/>
                              <w:rPr>
                                <w:rFonts w:ascii="Arial" w:hAnsi="Arial" w:cs="Arial"/>
                                <w:color w:val="000000"/>
                                <w:sz w:val="16"/>
                                <w:szCs w:val="14"/>
                              </w:rPr>
                            </w:pPr>
                            <w:r w:rsidRPr="00136A8F">
                              <w:rPr>
                                <w:rFonts w:ascii="Arial" w:hAnsi="Arial" w:cs="Arial"/>
                                <w:color w:val="000000"/>
                                <w:sz w:val="16"/>
                                <w:szCs w:val="14"/>
                              </w:rPr>
                              <w:t>Elaboración: Departamento de Atención al Sistema Nacional de Coordinación Fiscal.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25C0EE" id="Rectángulo 34" o:spid="_x0000_s1032" style="position:absolute;left:0;text-align:left;margin-left:0;margin-top:5.85pt;width:366.75pt;height:33.75pt;z-index:-2515066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" filled="f" stroked="f" strokeweight="1pt">
                <v:textbox>
                  <w:txbxContent>
                    <w:p w14:paraId="07545CB7" w14:textId="77777777" w:rsidR="00136A8F" w:rsidRPr="00136A8F" w:rsidRDefault="00136A8F" w:rsidP="00136A8F">
                      <w:pPr>
                        <w:spacing w:after="0" w:line="240" w:lineRule="atLeast"/>
                        <w:jc w:val="center"/>
                        <w:rPr>
                          <w:rFonts w:ascii="Arial" w:hAnsi="Arial" w:cs="Arial"/>
                          <w:color w:val="000000"/>
                          <w:sz w:val="16"/>
                          <w:szCs w:val="14"/>
                        </w:rPr>
                      </w:pPr>
                      <w:r w:rsidRPr="00136A8F">
                        <w:rPr>
                          <w:rFonts w:ascii="Arial" w:hAnsi="Arial" w:cs="Arial"/>
                          <w:color w:val="000000"/>
                          <w:sz w:val="16"/>
                          <w:szCs w:val="14"/>
                        </w:rPr>
                        <w:t>Fuente: Departamento de Control de Ingresos, Subsecretaría de Ingresos.</w:t>
                      </w:r>
                    </w:p>
                    <w:p w14:paraId="4A7591A7" w14:textId="77777777" w:rsidR="00136A8F" w:rsidRPr="00136A8F" w:rsidRDefault="00136A8F" w:rsidP="00136A8F">
                      <w:pPr>
                        <w:spacing w:after="0" w:line="240" w:lineRule="atLeast"/>
                        <w:jc w:val="center"/>
                        <w:rPr>
                          <w:rFonts w:ascii="Arial" w:hAnsi="Arial" w:cs="Arial"/>
                          <w:color w:val="000000"/>
                          <w:sz w:val="16"/>
                          <w:szCs w:val="14"/>
                        </w:rPr>
                      </w:pPr>
                      <w:r w:rsidRPr="00136A8F">
                        <w:rPr>
                          <w:rFonts w:ascii="Arial" w:hAnsi="Arial" w:cs="Arial"/>
                          <w:color w:val="000000"/>
                          <w:sz w:val="16"/>
                          <w:szCs w:val="14"/>
                        </w:rPr>
                        <w:t>Elaboración: Departamento de Atención al Sistema Nacional de Coordinación Fiscal.</w:t>
                      </w:r>
                    </w:p>
                  </w:txbxContent>
                </v:textbox>
                <w10:wrap anchorx="margin"/>
              </v:rect>
            </w:pict>
          </mc:Fallback>
        </mc:AlternateContent>
      </w:r>
    </w:p>
    <w:p w14:paraId="52B28AEA" w14:textId="26880B80" w:rsidR="00136A8F" w:rsidRDefault="00136A8F" w:rsidP="00E74526">
      <w:pPr>
        <w:spacing w:before="120" w:after="240" w:line="360" w:lineRule="auto"/>
        <w:ind w:firstLine="284"/>
        <w:jc w:val="both"/>
        <w:rPr>
          <w:rFonts w:ascii="Helvetica" w:eastAsia="Calibri" w:hAnsi="Helvetica" w:cs="Times New Roman"/>
          <w:b/>
          <w:bCs/>
          <w:kern w:val="0"/>
          <w:sz w:val="24"/>
          <w14:ligatures w14:val="none"/>
        </w:rPr>
      </w:pPr>
    </w:p>
    <w:p w14:paraId="355E06B3" w14:textId="12D51C46" w:rsidR="00AD220E" w:rsidRDefault="00AD220E" w:rsidP="00E74526">
      <w:pPr>
        <w:spacing w:before="120" w:after="240" w:line="360" w:lineRule="auto"/>
        <w:ind w:firstLine="284"/>
        <w:jc w:val="both"/>
        <w:rPr>
          <w:rFonts w:ascii="Helvetica" w:eastAsia="Calibri" w:hAnsi="Helvetica" w:cs="Times New Roman"/>
          <w:b/>
          <w:bCs/>
          <w:kern w:val="0"/>
          <w:sz w:val="24"/>
          <w14:ligatures w14:val="none"/>
        </w:rPr>
      </w:pPr>
      <w:r w:rsidRPr="00AD220E">
        <w:rPr>
          <w:rFonts w:ascii="Helvetica" w:eastAsia="Calibri" w:hAnsi="Helvetica" w:cs="Times New Roman"/>
          <w:b/>
          <w:bCs/>
          <w:kern w:val="0"/>
          <w:sz w:val="24"/>
          <w14:ligatures w14:val="none"/>
        </w:rPr>
        <w:t>Donde:</w:t>
      </w:r>
    </w:p>
    <w:p w14:paraId="30734530" w14:textId="43F7AC10" w:rsidR="007D3F49" w:rsidRPr="007D3F49" w:rsidRDefault="007D3F49" w:rsidP="007D3F49">
      <w:pPr>
        <w:numPr>
          <w:ilvl w:val="0"/>
          <w:numId w:val="24"/>
        </w:numPr>
        <w:spacing w:before="120" w:after="240" w:line="240" w:lineRule="auto"/>
        <w:contextualSpacing/>
        <w:jc w:val="both"/>
        <w:rPr>
          <w:rFonts w:ascii="Arial" w:eastAsia="Calibri" w:hAnsi="Arial" w:cs="Arial"/>
          <w:kern w:val="0"/>
          <w:sz w:val="24"/>
          <w14:ligatures w14:val="none"/>
        </w:rPr>
      </w:pPr>
      <w:bookmarkStart w:id="27" w:name="_Hlk220407727"/>
      <w:bookmarkEnd w:id="26"/>
      <w:r w:rsidRPr="007D3F49">
        <w:rPr>
          <w:rFonts w:ascii="Arial" w:eastAsia="Calibri" w:hAnsi="Arial" w:cs="Arial"/>
          <w:b/>
          <w:bCs/>
          <w:i/>
          <w:iCs/>
          <w:kern w:val="0"/>
          <w:sz w:val="24"/>
          <w14:ligatures w14:val="none"/>
        </w:rPr>
        <w:t>El Fondo de Aportaciones para la Nómina Educativa y Gasto Operativo</w:t>
      </w:r>
      <w:r w:rsidRPr="007D3F49">
        <w:rPr>
          <w:rFonts w:ascii="Arial" w:eastAsia="Calibri" w:hAnsi="Arial" w:cs="Arial"/>
          <w:kern w:val="0"/>
          <w:sz w:val="24"/>
          <w14:ligatures w14:val="none"/>
        </w:rPr>
        <w:t xml:space="preserve"> representó un avance del 1</w:t>
      </w:r>
      <w:r w:rsidR="00136A8F">
        <w:rPr>
          <w:rFonts w:ascii="Arial" w:eastAsia="Calibri" w:hAnsi="Arial" w:cs="Arial"/>
          <w:kern w:val="0"/>
          <w:sz w:val="24"/>
          <w14:ligatures w14:val="none"/>
        </w:rPr>
        <w:t>15.70</w:t>
      </w:r>
      <w:r w:rsidRPr="007D3F49">
        <w:rPr>
          <w:rFonts w:ascii="Arial" w:eastAsia="Calibri" w:hAnsi="Arial" w:cs="Arial"/>
          <w:kern w:val="0"/>
          <w:sz w:val="24"/>
          <w14:ligatures w14:val="none"/>
        </w:rPr>
        <w:t>%, respecto a lo estimado en la Ley de Ingresos del 202</w:t>
      </w:r>
      <w:r w:rsidR="00136A8F">
        <w:rPr>
          <w:rFonts w:ascii="Arial" w:eastAsia="Calibri" w:hAnsi="Arial" w:cs="Arial"/>
          <w:kern w:val="0"/>
          <w:sz w:val="24"/>
          <w14:ligatures w14:val="none"/>
        </w:rPr>
        <w:t>6</w:t>
      </w:r>
      <w:r w:rsidRPr="007D3F49">
        <w:rPr>
          <w:rFonts w:ascii="Arial" w:eastAsia="Calibri" w:hAnsi="Arial" w:cs="Arial"/>
          <w:kern w:val="0"/>
          <w:sz w:val="24"/>
          <w14:ligatures w14:val="none"/>
        </w:rPr>
        <w:t>.</w:t>
      </w:r>
    </w:p>
    <w:p w14:paraId="51321130" w14:textId="77777777" w:rsidR="007D3F49" w:rsidRPr="007D3F49" w:rsidRDefault="007D3F49" w:rsidP="007D3F49">
      <w:pPr>
        <w:spacing w:after="240" w:line="240" w:lineRule="auto"/>
        <w:ind w:left="1004"/>
        <w:contextualSpacing/>
        <w:jc w:val="both"/>
        <w:rPr>
          <w:rFonts w:ascii="Arial" w:eastAsia="Calibri" w:hAnsi="Arial" w:cs="Arial"/>
          <w:kern w:val="0"/>
          <w:sz w:val="24"/>
          <w14:ligatures w14:val="none"/>
        </w:rPr>
      </w:pPr>
    </w:p>
    <w:p w14:paraId="08CA349C" w14:textId="51902A8E" w:rsidR="007D3F49" w:rsidRPr="007D3F49" w:rsidRDefault="007D3F49" w:rsidP="007D3F49">
      <w:pPr>
        <w:numPr>
          <w:ilvl w:val="0"/>
          <w:numId w:val="24"/>
        </w:numPr>
        <w:spacing w:before="120" w:after="240" w:line="240" w:lineRule="auto"/>
        <w:contextualSpacing/>
        <w:jc w:val="both"/>
        <w:rPr>
          <w:rFonts w:ascii="Arial" w:eastAsia="Calibri" w:hAnsi="Arial" w:cs="Arial"/>
          <w:kern w:val="0"/>
          <w:sz w:val="24"/>
          <w14:ligatures w14:val="none"/>
        </w:rPr>
      </w:pPr>
      <w:r w:rsidRPr="007D3F49">
        <w:rPr>
          <w:rFonts w:ascii="Arial" w:eastAsia="Calibri" w:hAnsi="Arial" w:cs="Arial"/>
          <w:b/>
          <w:bCs/>
          <w:i/>
          <w:iCs/>
          <w:kern w:val="0"/>
          <w:sz w:val="24"/>
          <w14:ligatures w14:val="none"/>
        </w:rPr>
        <w:t>El Fondo de Aportaciones para los Servicios de Salud</w:t>
      </w:r>
      <w:r w:rsidRPr="007D3F49">
        <w:rPr>
          <w:rFonts w:ascii="Arial" w:eastAsia="Calibri" w:hAnsi="Arial" w:cs="Arial"/>
          <w:kern w:val="0"/>
          <w:sz w:val="24"/>
          <w14:ligatures w14:val="none"/>
        </w:rPr>
        <w:t xml:space="preserve"> representó un avance del 1</w:t>
      </w:r>
      <w:r w:rsidR="00136A8F">
        <w:rPr>
          <w:rFonts w:ascii="Arial" w:eastAsia="Calibri" w:hAnsi="Arial" w:cs="Arial"/>
          <w:kern w:val="0"/>
          <w:sz w:val="24"/>
          <w14:ligatures w14:val="none"/>
        </w:rPr>
        <w:t>97.24</w:t>
      </w:r>
      <w:r w:rsidRPr="007D3F49">
        <w:rPr>
          <w:rFonts w:ascii="Arial" w:eastAsia="Calibri" w:hAnsi="Arial" w:cs="Arial"/>
          <w:kern w:val="0"/>
          <w:sz w:val="24"/>
          <w14:ligatures w14:val="none"/>
        </w:rPr>
        <w:t>%, respecto a lo estimado en la Ley de Ingresos del 202</w:t>
      </w:r>
      <w:r w:rsidR="00136A8F">
        <w:rPr>
          <w:rFonts w:ascii="Arial" w:eastAsia="Calibri" w:hAnsi="Arial" w:cs="Arial"/>
          <w:kern w:val="0"/>
          <w:sz w:val="24"/>
          <w14:ligatures w14:val="none"/>
        </w:rPr>
        <w:t>6</w:t>
      </w:r>
      <w:r w:rsidRPr="007D3F49">
        <w:rPr>
          <w:rFonts w:ascii="Arial" w:eastAsia="Calibri" w:hAnsi="Arial" w:cs="Arial"/>
          <w:kern w:val="0"/>
          <w:sz w:val="24"/>
          <w14:ligatures w14:val="none"/>
        </w:rPr>
        <w:t xml:space="preserve">. </w:t>
      </w:r>
    </w:p>
    <w:p w14:paraId="5050F3CD" w14:textId="77777777" w:rsidR="007D3F49" w:rsidRPr="007D3F49" w:rsidRDefault="007D3F49" w:rsidP="007D3F49">
      <w:pPr>
        <w:spacing w:after="240" w:line="240" w:lineRule="auto"/>
        <w:ind w:left="720" w:firstLine="284"/>
        <w:contextualSpacing/>
        <w:jc w:val="both"/>
        <w:rPr>
          <w:rFonts w:ascii="Arial" w:eastAsia="Calibri" w:hAnsi="Arial" w:cs="Arial"/>
          <w:kern w:val="0"/>
          <w:sz w:val="20"/>
          <w:szCs w:val="18"/>
          <w14:ligatures w14:val="none"/>
        </w:rPr>
      </w:pPr>
    </w:p>
    <w:p w14:paraId="4CA5E2FA" w14:textId="53ABFE3D" w:rsidR="007D3F49" w:rsidRPr="007D3F49" w:rsidRDefault="007D3F49" w:rsidP="007D3F49">
      <w:pPr>
        <w:numPr>
          <w:ilvl w:val="0"/>
          <w:numId w:val="24"/>
        </w:numPr>
        <w:spacing w:before="120" w:after="240" w:line="240" w:lineRule="auto"/>
        <w:contextualSpacing/>
        <w:jc w:val="both"/>
        <w:rPr>
          <w:rFonts w:ascii="Arial" w:eastAsia="Calibri" w:hAnsi="Arial" w:cs="Arial"/>
          <w:kern w:val="0"/>
          <w:sz w:val="24"/>
          <w14:ligatures w14:val="none"/>
        </w:rPr>
      </w:pPr>
      <w:r w:rsidRPr="007D3F49">
        <w:rPr>
          <w:rFonts w:ascii="Arial" w:eastAsia="Calibri" w:hAnsi="Arial" w:cs="Arial"/>
          <w:b/>
          <w:bCs/>
          <w:i/>
          <w:iCs/>
          <w:kern w:val="0"/>
          <w:sz w:val="24"/>
          <w14:ligatures w14:val="none"/>
        </w:rPr>
        <w:t>El Fondo de Aportaciones para la Infraestructura Social</w:t>
      </w:r>
      <w:r w:rsidRPr="007D3F49">
        <w:rPr>
          <w:rFonts w:ascii="Arial" w:eastAsia="Calibri" w:hAnsi="Arial" w:cs="Arial"/>
          <w:kern w:val="0"/>
          <w:sz w:val="24"/>
          <w14:ligatures w14:val="none"/>
        </w:rPr>
        <w:t xml:space="preserve"> representó un avance del 9</w:t>
      </w:r>
      <w:r w:rsidR="00136A8F">
        <w:rPr>
          <w:rFonts w:ascii="Arial" w:eastAsia="Calibri" w:hAnsi="Arial" w:cs="Arial"/>
          <w:kern w:val="0"/>
          <w:sz w:val="24"/>
          <w14:ligatures w14:val="none"/>
        </w:rPr>
        <w:t>3.57</w:t>
      </w:r>
      <w:r w:rsidRPr="007D3F49">
        <w:rPr>
          <w:rFonts w:ascii="Arial" w:eastAsia="Calibri" w:hAnsi="Arial" w:cs="Arial"/>
          <w:kern w:val="0"/>
          <w:sz w:val="24"/>
          <w14:ligatures w14:val="none"/>
        </w:rPr>
        <w:t>%, respecto a lo estimado en la Ley de Ingresos del 202</w:t>
      </w:r>
      <w:r w:rsidR="00136A8F">
        <w:rPr>
          <w:rFonts w:ascii="Arial" w:eastAsia="Calibri" w:hAnsi="Arial" w:cs="Arial"/>
          <w:kern w:val="0"/>
          <w:sz w:val="24"/>
          <w14:ligatures w14:val="none"/>
        </w:rPr>
        <w:t>6</w:t>
      </w:r>
      <w:r w:rsidRPr="007D3F49">
        <w:rPr>
          <w:rFonts w:ascii="Arial" w:eastAsia="Calibri" w:hAnsi="Arial" w:cs="Arial"/>
          <w:kern w:val="0"/>
          <w:sz w:val="24"/>
          <w14:ligatures w14:val="none"/>
        </w:rPr>
        <w:t>.</w:t>
      </w:r>
    </w:p>
    <w:p w14:paraId="1301730E" w14:textId="77777777" w:rsidR="007D3F49" w:rsidRPr="007D3F49" w:rsidRDefault="007D3F49" w:rsidP="007D3F49">
      <w:pPr>
        <w:spacing w:after="240" w:line="240" w:lineRule="auto"/>
        <w:ind w:left="720" w:firstLine="284"/>
        <w:contextualSpacing/>
        <w:jc w:val="both"/>
        <w:rPr>
          <w:rFonts w:ascii="Arial" w:eastAsia="Calibri" w:hAnsi="Arial" w:cs="Arial"/>
          <w:kern w:val="0"/>
          <w:sz w:val="20"/>
          <w:szCs w:val="18"/>
          <w14:ligatures w14:val="none"/>
        </w:rPr>
      </w:pPr>
    </w:p>
    <w:p w14:paraId="39A79895" w14:textId="566D71FA" w:rsidR="007D3F49" w:rsidRPr="007D3F49" w:rsidRDefault="007D3F49" w:rsidP="007D3F49">
      <w:pPr>
        <w:numPr>
          <w:ilvl w:val="0"/>
          <w:numId w:val="24"/>
        </w:numPr>
        <w:spacing w:before="120" w:after="240" w:line="240" w:lineRule="auto"/>
        <w:contextualSpacing/>
        <w:jc w:val="both"/>
        <w:rPr>
          <w:rFonts w:ascii="Arial" w:eastAsia="Calibri" w:hAnsi="Arial" w:cs="Arial"/>
          <w:kern w:val="0"/>
          <w:sz w:val="24"/>
          <w14:ligatures w14:val="none"/>
        </w:rPr>
      </w:pPr>
      <w:r w:rsidRPr="007D3F49">
        <w:rPr>
          <w:rFonts w:ascii="Arial" w:eastAsia="Calibri" w:hAnsi="Arial" w:cs="Arial"/>
          <w:b/>
          <w:bCs/>
          <w:i/>
          <w:iCs/>
          <w:kern w:val="0"/>
          <w:sz w:val="24"/>
          <w14:ligatures w14:val="none"/>
        </w:rPr>
        <w:t>El Fondo de Aportaciones para el Fortalecimiento de los Municipios y de las Demarcaciones Territoriales del Distrito Federal</w:t>
      </w:r>
      <w:r w:rsidRPr="007D3F49">
        <w:rPr>
          <w:rFonts w:ascii="Arial" w:eastAsia="Calibri" w:hAnsi="Arial" w:cs="Arial"/>
          <w:kern w:val="0"/>
          <w:sz w:val="24"/>
          <w14:ligatures w14:val="none"/>
        </w:rPr>
        <w:t xml:space="preserve">, representó un avance del </w:t>
      </w:r>
      <w:r w:rsidR="00136A8F">
        <w:rPr>
          <w:rFonts w:ascii="Arial" w:eastAsia="Calibri" w:hAnsi="Arial" w:cs="Arial"/>
          <w:kern w:val="0"/>
          <w:sz w:val="24"/>
          <w14:ligatures w14:val="none"/>
        </w:rPr>
        <w:t>86.62</w:t>
      </w:r>
      <w:r w:rsidRPr="007D3F49">
        <w:rPr>
          <w:rFonts w:ascii="Arial" w:eastAsia="Calibri" w:hAnsi="Arial" w:cs="Arial"/>
          <w:kern w:val="0"/>
          <w:sz w:val="24"/>
          <w14:ligatures w14:val="none"/>
        </w:rPr>
        <w:t>%, respecto a lo estimado en la Ley de Ingresos del 202</w:t>
      </w:r>
      <w:r w:rsidR="00136A8F">
        <w:rPr>
          <w:rFonts w:ascii="Arial" w:eastAsia="Calibri" w:hAnsi="Arial" w:cs="Arial"/>
          <w:kern w:val="0"/>
          <w:sz w:val="24"/>
          <w14:ligatures w14:val="none"/>
        </w:rPr>
        <w:t>6</w:t>
      </w:r>
      <w:r w:rsidRPr="007D3F49">
        <w:rPr>
          <w:rFonts w:ascii="Arial" w:eastAsia="Calibri" w:hAnsi="Arial" w:cs="Arial"/>
          <w:kern w:val="0"/>
          <w:sz w:val="24"/>
          <w14:ligatures w14:val="none"/>
        </w:rPr>
        <w:t>.</w:t>
      </w:r>
    </w:p>
    <w:p w14:paraId="6D956451" w14:textId="77777777" w:rsidR="007D3F49" w:rsidRPr="007D3F49" w:rsidRDefault="007D3F49" w:rsidP="007D3F49">
      <w:pPr>
        <w:spacing w:after="240" w:line="240" w:lineRule="auto"/>
        <w:ind w:left="720" w:firstLine="284"/>
        <w:contextualSpacing/>
        <w:jc w:val="both"/>
        <w:rPr>
          <w:rFonts w:ascii="Arial" w:eastAsia="Calibri" w:hAnsi="Arial" w:cs="Arial"/>
          <w:kern w:val="0"/>
          <w:sz w:val="20"/>
          <w:szCs w:val="18"/>
          <w14:ligatures w14:val="none"/>
        </w:rPr>
      </w:pPr>
    </w:p>
    <w:p w14:paraId="17366F9D" w14:textId="5E76CBCF" w:rsidR="007D3F49" w:rsidRPr="007D3F49" w:rsidRDefault="007D3F49" w:rsidP="007D3F49">
      <w:pPr>
        <w:numPr>
          <w:ilvl w:val="0"/>
          <w:numId w:val="24"/>
        </w:numPr>
        <w:spacing w:before="120" w:after="0" w:line="240" w:lineRule="auto"/>
        <w:contextualSpacing/>
        <w:jc w:val="both"/>
        <w:rPr>
          <w:rFonts w:ascii="Arial" w:eastAsia="Calibri" w:hAnsi="Arial" w:cs="Arial"/>
          <w:kern w:val="0"/>
          <w:sz w:val="24"/>
          <w14:ligatures w14:val="none"/>
        </w:rPr>
      </w:pPr>
      <w:r w:rsidRPr="007D3F49">
        <w:rPr>
          <w:rFonts w:ascii="Arial" w:eastAsia="Calibri" w:hAnsi="Arial" w:cs="Arial"/>
          <w:b/>
          <w:bCs/>
          <w:kern w:val="0"/>
          <w:sz w:val="24"/>
          <w14:ligatures w14:val="none"/>
        </w:rPr>
        <w:t>El Fondo de Aportaciones Múltiples</w:t>
      </w:r>
      <w:r w:rsidRPr="007D3F49">
        <w:rPr>
          <w:rFonts w:ascii="Arial" w:eastAsia="Calibri" w:hAnsi="Arial" w:cs="Arial"/>
          <w:kern w:val="0"/>
          <w:sz w:val="24"/>
          <w14:ligatures w14:val="none"/>
        </w:rPr>
        <w:t xml:space="preserve">, representó un avance del </w:t>
      </w:r>
      <w:r w:rsidR="00136A8F">
        <w:rPr>
          <w:rFonts w:ascii="Arial" w:eastAsia="Calibri" w:hAnsi="Arial" w:cs="Arial"/>
          <w:kern w:val="0"/>
          <w:sz w:val="24"/>
          <w14:ligatures w14:val="none"/>
        </w:rPr>
        <w:t>89.47</w:t>
      </w:r>
      <w:r w:rsidRPr="007D3F49">
        <w:rPr>
          <w:rFonts w:ascii="Arial" w:eastAsia="Calibri" w:hAnsi="Arial" w:cs="Arial"/>
          <w:kern w:val="0"/>
          <w:sz w:val="24"/>
          <w14:ligatures w14:val="none"/>
        </w:rPr>
        <w:t>%, respecto a lo estimado en la Ley de Ingresos del 202</w:t>
      </w:r>
      <w:r w:rsidR="00136A8F">
        <w:rPr>
          <w:rFonts w:ascii="Arial" w:eastAsia="Calibri" w:hAnsi="Arial" w:cs="Arial"/>
          <w:kern w:val="0"/>
          <w:sz w:val="24"/>
          <w14:ligatures w14:val="none"/>
        </w:rPr>
        <w:t>6</w:t>
      </w:r>
      <w:r w:rsidRPr="007D3F49">
        <w:rPr>
          <w:rFonts w:ascii="Arial" w:eastAsia="Calibri" w:hAnsi="Arial" w:cs="Arial"/>
          <w:kern w:val="0"/>
          <w:sz w:val="24"/>
          <w14:ligatures w14:val="none"/>
        </w:rPr>
        <w:t>.</w:t>
      </w:r>
    </w:p>
    <w:p w14:paraId="1E649B00" w14:textId="77777777" w:rsidR="007D3F49" w:rsidRPr="007D3F49" w:rsidRDefault="007D3F49" w:rsidP="007D3F49">
      <w:pPr>
        <w:spacing w:after="240" w:line="240" w:lineRule="auto"/>
        <w:ind w:left="720" w:firstLine="284"/>
        <w:contextualSpacing/>
        <w:jc w:val="both"/>
        <w:rPr>
          <w:rFonts w:ascii="Arial" w:eastAsia="Calibri" w:hAnsi="Arial" w:cs="Arial"/>
          <w:kern w:val="0"/>
          <w:sz w:val="20"/>
          <w:szCs w:val="18"/>
          <w14:ligatures w14:val="none"/>
        </w:rPr>
      </w:pPr>
    </w:p>
    <w:p w14:paraId="149B14FC" w14:textId="7C3704F7" w:rsidR="007D3F49" w:rsidRPr="007D3F49" w:rsidRDefault="007D3F49" w:rsidP="007D3F49">
      <w:pPr>
        <w:numPr>
          <w:ilvl w:val="0"/>
          <w:numId w:val="24"/>
        </w:numPr>
        <w:spacing w:before="120" w:after="0" w:line="240" w:lineRule="auto"/>
        <w:contextualSpacing/>
        <w:jc w:val="both"/>
        <w:rPr>
          <w:rFonts w:ascii="Arial" w:eastAsia="Calibri" w:hAnsi="Arial" w:cs="Arial"/>
          <w:kern w:val="0"/>
          <w:sz w:val="24"/>
          <w14:ligatures w14:val="none"/>
        </w:rPr>
      </w:pPr>
      <w:r w:rsidRPr="007D3F49">
        <w:rPr>
          <w:rFonts w:ascii="Arial" w:eastAsia="Calibri" w:hAnsi="Arial" w:cs="Arial"/>
          <w:kern w:val="0"/>
          <w:sz w:val="24"/>
          <w14:ligatures w14:val="none"/>
        </w:rPr>
        <w:lastRenderedPageBreak/>
        <w:t xml:space="preserve">Respecto al </w:t>
      </w:r>
      <w:r w:rsidRPr="007D3F49">
        <w:rPr>
          <w:rFonts w:ascii="Arial" w:eastAsia="Calibri" w:hAnsi="Arial" w:cs="Arial"/>
          <w:b/>
          <w:bCs/>
          <w:kern w:val="0"/>
          <w:sz w:val="24"/>
          <w14:ligatures w14:val="none"/>
        </w:rPr>
        <w:t>Fondo de Aportaciones para la Educación Tecnológica y de Adultos</w:t>
      </w:r>
      <w:r w:rsidRPr="007D3F49">
        <w:rPr>
          <w:rFonts w:ascii="Arial" w:eastAsia="Calibri" w:hAnsi="Arial" w:cs="Arial"/>
          <w:kern w:val="0"/>
          <w:sz w:val="24"/>
          <w14:ligatures w14:val="none"/>
        </w:rPr>
        <w:t xml:space="preserve">, tuvo un avance del </w:t>
      </w:r>
      <w:r w:rsidR="00136A8F">
        <w:rPr>
          <w:rFonts w:ascii="Arial" w:eastAsia="Calibri" w:hAnsi="Arial" w:cs="Arial"/>
          <w:kern w:val="0"/>
          <w:sz w:val="24"/>
          <w14:ligatures w14:val="none"/>
        </w:rPr>
        <w:t>93.51</w:t>
      </w:r>
      <w:r w:rsidRPr="007D3F49">
        <w:rPr>
          <w:rFonts w:ascii="Arial" w:eastAsia="Calibri" w:hAnsi="Arial" w:cs="Arial"/>
          <w:kern w:val="0"/>
          <w:sz w:val="24"/>
          <w14:ligatures w14:val="none"/>
        </w:rPr>
        <w:t>%, respecto a lo estimado en la Ley de Ingresos del 202</w:t>
      </w:r>
      <w:r w:rsidR="00136A8F">
        <w:rPr>
          <w:rFonts w:ascii="Arial" w:eastAsia="Calibri" w:hAnsi="Arial" w:cs="Arial"/>
          <w:kern w:val="0"/>
          <w:sz w:val="24"/>
          <w14:ligatures w14:val="none"/>
        </w:rPr>
        <w:t>6</w:t>
      </w:r>
      <w:r w:rsidRPr="007D3F49">
        <w:rPr>
          <w:rFonts w:ascii="Arial" w:eastAsia="Calibri" w:hAnsi="Arial" w:cs="Arial"/>
          <w:kern w:val="0"/>
          <w:sz w:val="24"/>
          <w14:ligatures w14:val="none"/>
        </w:rPr>
        <w:t>.</w:t>
      </w:r>
    </w:p>
    <w:p w14:paraId="1C80D40D" w14:textId="77777777" w:rsidR="007D3F49" w:rsidRPr="007D3F49" w:rsidRDefault="007D3F49" w:rsidP="007D3F49">
      <w:pPr>
        <w:spacing w:after="240" w:line="240" w:lineRule="auto"/>
        <w:ind w:left="720" w:firstLine="284"/>
        <w:contextualSpacing/>
        <w:jc w:val="both"/>
        <w:rPr>
          <w:rFonts w:ascii="Arial" w:eastAsia="Calibri" w:hAnsi="Arial" w:cs="Arial"/>
          <w:kern w:val="0"/>
          <w:sz w:val="20"/>
          <w:szCs w:val="18"/>
          <w14:ligatures w14:val="none"/>
        </w:rPr>
      </w:pPr>
    </w:p>
    <w:p w14:paraId="1553BBA9" w14:textId="58649ACC" w:rsidR="007D3F49" w:rsidRPr="007D3F49" w:rsidRDefault="007D3F49" w:rsidP="007D3F49">
      <w:pPr>
        <w:numPr>
          <w:ilvl w:val="0"/>
          <w:numId w:val="24"/>
        </w:numPr>
        <w:spacing w:before="120" w:after="0" w:line="240" w:lineRule="auto"/>
        <w:contextualSpacing/>
        <w:jc w:val="both"/>
        <w:rPr>
          <w:rFonts w:ascii="Arial" w:eastAsia="Calibri" w:hAnsi="Arial" w:cs="Arial"/>
          <w:kern w:val="0"/>
          <w:sz w:val="24"/>
          <w14:ligatures w14:val="none"/>
        </w:rPr>
      </w:pPr>
      <w:r w:rsidRPr="007D3F49">
        <w:rPr>
          <w:rFonts w:ascii="Arial" w:eastAsia="Calibri" w:hAnsi="Arial" w:cs="Arial"/>
          <w:b/>
          <w:bCs/>
          <w:kern w:val="0"/>
          <w:sz w:val="24"/>
          <w14:ligatures w14:val="none"/>
        </w:rPr>
        <w:t>El Fondo de Aportaciones para la Seguridad Pública de los Estados y del Distrito Federal</w:t>
      </w:r>
      <w:r w:rsidRPr="007D3F49">
        <w:rPr>
          <w:rFonts w:ascii="Arial" w:eastAsia="Calibri" w:hAnsi="Arial" w:cs="Arial"/>
          <w:kern w:val="0"/>
          <w:sz w:val="24"/>
          <w14:ligatures w14:val="none"/>
        </w:rPr>
        <w:t xml:space="preserve">, representó el </w:t>
      </w:r>
      <w:r w:rsidR="00E45BC4">
        <w:rPr>
          <w:rFonts w:ascii="Arial" w:eastAsia="Calibri" w:hAnsi="Arial" w:cs="Arial"/>
          <w:kern w:val="0"/>
          <w:sz w:val="24"/>
          <w14:ligatures w14:val="none"/>
        </w:rPr>
        <w:t>107.44</w:t>
      </w:r>
      <w:r w:rsidRPr="007D3F49">
        <w:rPr>
          <w:rFonts w:ascii="Arial" w:eastAsia="Calibri" w:hAnsi="Arial" w:cs="Arial"/>
          <w:kern w:val="0"/>
          <w:sz w:val="24"/>
          <w14:ligatures w14:val="none"/>
        </w:rPr>
        <w:t>% respecto a la Ley de Ingresos del 202</w:t>
      </w:r>
      <w:r w:rsidR="00E45BC4">
        <w:rPr>
          <w:rFonts w:ascii="Arial" w:eastAsia="Calibri" w:hAnsi="Arial" w:cs="Arial"/>
          <w:kern w:val="0"/>
          <w:sz w:val="24"/>
          <w14:ligatures w14:val="none"/>
        </w:rPr>
        <w:t>6</w:t>
      </w:r>
      <w:r w:rsidRPr="007D3F49">
        <w:rPr>
          <w:rFonts w:ascii="Arial" w:eastAsia="Calibri" w:hAnsi="Arial" w:cs="Arial"/>
          <w:kern w:val="0"/>
          <w:sz w:val="24"/>
          <w14:ligatures w14:val="none"/>
        </w:rPr>
        <w:t>.</w:t>
      </w:r>
    </w:p>
    <w:p w14:paraId="4852FA11" w14:textId="77777777" w:rsidR="007D3F49" w:rsidRPr="007D3F49" w:rsidRDefault="007D3F49" w:rsidP="007D3F49">
      <w:pPr>
        <w:spacing w:after="240" w:line="240" w:lineRule="auto"/>
        <w:ind w:left="720" w:firstLine="284"/>
        <w:contextualSpacing/>
        <w:jc w:val="both"/>
        <w:rPr>
          <w:rFonts w:ascii="Arial" w:eastAsia="Calibri" w:hAnsi="Arial" w:cs="Arial"/>
          <w:kern w:val="0"/>
          <w:sz w:val="20"/>
          <w:szCs w:val="18"/>
          <w14:ligatures w14:val="none"/>
        </w:rPr>
      </w:pPr>
    </w:p>
    <w:bookmarkEnd w:id="27"/>
    <w:p w14:paraId="4A4565D7" w14:textId="77777777" w:rsidR="007D3F49" w:rsidRPr="007D3F49" w:rsidRDefault="007D3F49" w:rsidP="007D3F49">
      <w:pPr>
        <w:spacing w:after="0" w:line="240" w:lineRule="auto"/>
        <w:ind w:left="501"/>
        <w:contextualSpacing/>
        <w:jc w:val="both"/>
        <w:rPr>
          <w:rFonts w:ascii="Arial" w:eastAsia="Calibri" w:hAnsi="Arial" w:cs="Arial"/>
          <w:kern w:val="0"/>
          <w:sz w:val="24"/>
          <w14:ligatures w14:val="none"/>
        </w:rPr>
      </w:pPr>
    </w:p>
    <w:p w14:paraId="13FEC457" w14:textId="77777777" w:rsidR="0062215D" w:rsidRPr="003E7FCE" w:rsidRDefault="0062215D" w:rsidP="003E7FCE">
      <w:pPr>
        <w:spacing w:before="120" w:after="240" w:line="240" w:lineRule="auto"/>
        <w:ind w:left="720" w:firstLine="284"/>
        <w:contextualSpacing/>
        <w:jc w:val="both"/>
        <w:rPr>
          <w:rFonts w:ascii="Helvetica" w:eastAsia="Calibri" w:hAnsi="Helvetica" w:cs="Times New Roman"/>
          <w:kern w:val="0"/>
          <w:sz w:val="24"/>
          <w14:ligatures w14:val="none"/>
        </w:rPr>
      </w:pPr>
    </w:p>
    <w:p w14:paraId="1C8A4026" w14:textId="6645AA8C" w:rsidR="00FF73A2" w:rsidRDefault="00FF73A2" w:rsidP="00150443">
      <w:pPr>
        <w:spacing w:after="0" w:line="360" w:lineRule="auto"/>
        <w:ind w:left="-397"/>
        <w:jc w:val="both"/>
        <w:rPr>
          <w:rFonts w:ascii="Arial" w:eastAsiaTheme="majorEastAsia" w:hAnsi="Arial" w:cs="Arial"/>
          <w:b/>
          <w:i/>
          <w:iCs/>
          <w:color w:val="000000" w:themeColor="text1"/>
          <w:sz w:val="24"/>
          <w:szCs w:val="24"/>
        </w:rPr>
      </w:pPr>
      <w:r w:rsidRPr="00390849">
        <w:rPr>
          <w:rFonts w:ascii="Arial" w:eastAsiaTheme="majorEastAsia" w:hAnsi="Arial" w:cs="Arial"/>
          <w:b/>
          <w:i/>
          <w:iCs/>
          <w:color w:val="000000" w:themeColor="text1"/>
          <w:sz w:val="24"/>
          <w:szCs w:val="24"/>
        </w:rPr>
        <w:t>Convenios</w:t>
      </w:r>
    </w:p>
    <w:p w14:paraId="19ACAAA2" w14:textId="3A3F5582" w:rsidR="003E7FCE" w:rsidRDefault="003E7FCE" w:rsidP="00150443">
      <w:pPr>
        <w:spacing w:after="0" w:line="360" w:lineRule="auto"/>
        <w:ind w:left="-397"/>
        <w:jc w:val="both"/>
        <w:rPr>
          <w:rFonts w:ascii="Arial" w:eastAsiaTheme="majorEastAsia" w:hAnsi="Arial" w:cs="Arial"/>
          <w:b/>
          <w:i/>
          <w:iCs/>
          <w:color w:val="000000" w:themeColor="text1"/>
          <w:sz w:val="24"/>
          <w:szCs w:val="24"/>
        </w:rPr>
      </w:pPr>
    </w:p>
    <w:p w14:paraId="610A7134" w14:textId="77777777" w:rsidR="00FD13A1" w:rsidRPr="00FD13A1" w:rsidRDefault="00FD13A1" w:rsidP="00150443">
      <w:pPr>
        <w:spacing w:after="240" w:line="360" w:lineRule="auto"/>
        <w:ind w:left="-397"/>
        <w:jc w:val="both"/>
        <w:rPr>
          <w:rFonts w:ascii="Arial" w:eastAsia="Calibri" w:hAnsi="Arial" w:cs="Arial"/>
          <w:kern w:val="0"/>
          <w:sz w:val="24"/>
          <w14:ligatures w14:val="none"/>
        </w:rPr>
      </w:pPr>
      <w:r w:rsidRPr="00FD13A1">
        <w:rPr>
          <w:rFonts w:ascii="Arial" w:eastAsia="Calibri" w:hAnsi="Arial" w:cs="Arial"/>
          <w:kern w:val="0"/>
          <w:sz w:val="24"/>
          <w14:ligatures w14:val="none"/>
        </w:rPr>
        <w:t>Referente a los recursos que, vía convenios de reasignación, la Federación transfiere al Estado, al primer trimestre de 2026 se registró una recaudación de $</w:t>
      </w:r>
      <w:r w:rsidRPr="00FD13A1">
        <w:rPr>
          <w:rFonts w:ascii="Helvetica" w:eastAsia="Calibri" w:hAnsi="Helvetica" w:cs="Times New Roman"/>
          <w:kern w:val="0"/>
          <w:sz w:val="24"/>
          <w14:ligatures w14:val="none"/>
        </w:rPr>
        <w:t xml:space="preserve"> </w:t>
      </w:r>
      <w:r w:rsidRPr="00FD13A1">
        <w:rPr>
          <w:rFonts w:ascii="Arial" w:eastAsia="Calibri" w:hAnsi="Arial" w:cs="Arial"/>
          <w:kern w:val="0"/>
          <w:sz w:val="24"/>
          <w14:ligatures w14:val="none"/>
        </w:rPr>
        <w:t>1,252,791,725.61, monto que representa un avance del 277.97% respecto de lo estimado en la Ley de Ingresos 2026.</w:t>
      </w:r>
    </w:p>
    <w:p w14:paraId="61797982" w14:textId="0C37504A" w:rsidR="00FD13A1" w:rsidRDefault="00FD13A1" w:rsidP="00AB2764">
      <w:pPr>
        <w:spacing w:after="0" w:line="360" w:lineRule="auto"/>
        <w:jc w:val="both"/>
        <w:rPr>
          <w:rFonts w:ascii="Arial" w:eastAsiaTheme="majorEastAsia" w:hAnsi="Arial" w:cs="Arial"/>
          <w:b/>
          <w:i/>
          <w:iCs/>
          <w:color w:val="000000" w:themeColor="text1"/>
          <w:sz w:val="24"/>
          <w:szCs w:val="24"/>
        </w:rPr>
      </w:pPr>
    </w:p>
    <w:p w14:paraId="410FD51D" w14:textId="17A91125" w:rsidR="00FD13A1" w:rsidRDefault="00FD13A1" w:rsidP="00AB2764">
      <w:pPr>
        <w:spacing w:after="0" w:line="360" w:lineRule="auto"/>
        <w:jc w:val="both"/>
        <w:rPr>
          <w:rFonts w:ascii="Arial" w:eastAsiaTheme="majorEastAsia" w:hAnsi="Arial" w:cs="Arial"/>
          <w:b/>
          <w:i/>
          <w:iCs/>
          <w:color w:val="000000" w:themeColor="text1"/>
          <w:sz w:val="24"/>
          <w:szCs w:val="24"/>
        </w:rPr>
      </w:pPr>
      <w:r>
        <w:rPr>
          <w:noProof/>
        </w:rPr>
        <w:drawing>
          <wp:inline distT="0" distB="0" distL="0" distR="0" wp14:anchorId="4C037FB3" wp14:editId="6D363B0C">
            <wp:extent cx="5612130" cy="3179140"/>
            <wp:effectExtent l="0" t="0" r="7620" b="2540"/>
            <wp:docPr id="11" name="Gráfico 11">
              <a:extLst xmlns:a="http://schemas.openxmlformats.org/drawingml/2006/main">
                <a:ext uri="{FF2B5EF4-FFF2-40B4-BE49-F238E27FC236}">
                  <a16:creationId xmlns:a16="http://schemas.microsoft.com/office/drawing/2014/main" id="{64C730AE-2A9E-4D0B-83F5-E2478C4D7F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4308026D" w14:textId="461C2735" w:rsidR="007D3F49" w:rsidRDefault="00150443" w:rsidP="00AB2764">
      <w:pPr>
        <w:spacing w:after="0" w:line="360" w:lineRule="auto"/>
        <w:jc w:val="both"/>
        <w:rPr>
          <w:rFonts w:ascii="Arial" w:eastAsiaTheme="majorEastAsia" w:hAnsi="Arial" w:cs="Arial"/>
          <w:b/>
          <w:i/>
          <w:iCs/>
          <w:color w:val="000000" w:themeColor="text1"/>
          <w:sz w:val="24"/>
          <w:szCs w:val="24"/>
        </w:rPr>
      </w:pPr>
      <w:r w:rsidRPr="006549B2">
        <w:rPr>
          <w:rFonts w:ascii="Arial" w:eastAsia="Times New Roman" w:hAnsi="Arial" w:cs="Arial"/>
          <w:b/>
          <w:noProof/>
          <w:kern w:val="0"/>
          <w:sz w:val="24"/>
          <w:szCs w:val="26"/>
          <w14:ligatures w14:val="none"/>
        </w:rPr>
        <mc:AlternateContent>
          <mc:Choice Requires="wps">
            <w:drawing>
              <wp:anchor distT="0" distB="0" distL="114300" distR="114300" simplePos="0" relativeHeight="251803648" behindDoc="1" locked="0" layoutInCell="1" allowOverlap="1" wp14:anchorId="2623035D" wp14:editId="4118F8CA">
                <wp:simplePos x="0" y="0"/>
                <wp:positionH relativeFrom="margin">
                  <wp:align>left</wp:align>
                </wp:positionH>
                <wp:positionV relativeFrom="paragraph">
                  <wp:posOffset>10657</wp:posOffset>
                </wp:positionV>
                <wp:extent cx="4657725" cy="441507"/>
                <wp:effectExtent l="0" t="0" r="0" b="0"/>
                <wp:wrapNone/>
                <wp:docPr id="36" name="Rectángulo 36"/>
                <wp:cNvGraphicFramePr/>
                <a:graphic xmlns:a="http://schemas.openxmlformats.org/drawingml/2006/main">
                  <a:graphicData uri="http://schemas.microsoft.com/office/word/2010/wordprocessingShape">
                    <wps:wsp>
                      <wps:cNvSpPr/>
                      <wps:spPr>
                        <a:xfrm>
                          <a:off x="0" y="0"/>
                          <a:ext cx="4657725" cy="441507"/>
                        </a:xfrm>
                        <a:prstGeom prst="rect">
                          <a:avLst/>
                        </a:prstGeom>
                        <a:noFill/>
                        <a:ln w="12700" cap="flat" cmpd="sng" algn="ctr">
                          <a:noFill/>
                          <a:prstDash val="solid"/>
                          <a:miter lim="800000"/>
                        </a:ln>
                        <a:effectLst/>
                      </wps:spPr>
                      <wps:txbx>
                        <w:txbxContent>
                          <w:p w14:paraId="0D0B028C" w14:textId="77777777" w:rsidR="006549B2" w:rsidRPr="006549B2" w:rsidRDefault="006549B2" w:rsidP="006549B2">
                            <w:pPr>
                              <w:spacing w:after="0" w:line="240" w:lineRule="atLeast"/>
                              <w:jc w:val="center"/>
                              <w:rPr>
                                <w:rFonts w:ascii="Arial" w:hAnsi="Arial" w:cs="Arial"/>
                                <w:color w:val="000000"/>
                                <w:sz w:val="16"/>
                                <w:szCs w:val="14"/>
                              </w:rPr>
                            </w:pPr>
                            <w:r w:rsidRPr="006549B2">
                              <w:rPr>
                                <w:rFonts w:ascii="Arial" w:hAnsi="Arial" w:cs="Arial"/>
                                <w:color w:val="000000"/>
                                <w:sz w:val="16"/>
                                <w:szCs w:val="14"/>
                              </w:rPr>
                              <w:t>Fuente: Departamento de Control de Ingresos, Subsecretaría de Ingresos.</w:t>
                            </w:r>
                          </w:p>
                          <w:p w14:paraId="7A6D737F" w14:textId="77777777" w:rsidR="006549B2" w:rsidRPr="006549B2" w:rsidRDefault="006549B2" w:rsidP="006549B2">
                            <w:pPr>
                              <w:spacing w:after="0" w:line="240" w:lineRule="atLeast"/>
                              <w:jc w:val="center"/>
                              <w:rPr>
                                <w:rFonts w:ascii="Arial" w:hAnsi="Arial" w:cs="Arial"/>
                                <w:color w:val="000000"/>
                                <w:sz w:val="16"/>
                                <w:szCs w:val="14"/>
                              </w:rPr>
                            </w:pPr>
                            <w:r w:rsidRPr="006549B2">
                              <w:rPr>
                                <w:rFonts w:ascii="Arial" w:hAnsi="Arial" w:cs="Arial"/>
                                <w:color w:val="000000"/>
                                <w:sz w:val="16"/>
                                <w:szCs w:val="14"/>
                              </w:rPr>
                              <w:t>Elaboración: Departamento de Atención al Sistema Nacional de Coordinación Fiscal.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23035D" id="Rectángulo 36" o:spid="_x0000_s1033" style="position:absolute;left:0;text-align:left;margin-left:0;margin-top:.85pt;width:366.75pt;height:34.75pt;z-index:-2515128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" filled="f" stroked="f" strokeweight="1pt">
                <v:textbox>
                  <w:txbxContent>
                    <w:p w14:paraId="0D0B028C" w14:textId="77777777" w:rsidR="006549B2" w:rsidRPr="006549B2" w:rsidRDefault="006549B2" w:rsidP="006549B2">
                      <w:pPr>
                        <w:spacing w:after="0" w:line="240" w:lineRule="atLeast"/>
                        <w:jc w:val="center"/>
                        <w:rPr>
                          <w:rFonts w:ascii="Arial" w:hAnsi="Arial" w:cs="Arial"/>
                          <w:color w:val="000000"/>
                          <w:sz w:val="16"/>
                          <w:szCs w:val="14"/>
                        </w:rPr>
                      </w:pPr>
                      <w:r w:rsidRPr="006549B2">
                        <w:rPr>
                          <w:rFonts w:ascii="Arial" w:hAnsi="Arial" w:cs="Arial"/>
                          <w:color w:val="000000"/>
                          <w:sz w:val="16"/>
                          <w:szCs w:val="14"/>
                        </w:rPr>
                        <w:t>Fuente: Departamento de Control de Ingresos, Subsecretaría de Ingresos.</w:t>
                      </w:r>
                    </w:p>
                    <w:p w14:paraId="7A6D737F" w14:textId="77777777" w:rsidR="006549B2" w:rsidRPr="006549B2" w:rsidRDefault="006549B2" w:rsidP="006549B2">
                      <w:pPr>
                        <w:spacing w:after="0" w:line="240" w:lineRule="atLeast"/>
                        <w:jc w:val="center"/>
                        <w:rPr>
                          <w:rFonts w:ascii="Arial" w:hAnsi="Arial" w:cs="Arial"/>
                          <w:color w:val="000000"/>
                          <w:sz w:val="16"/>
                          <w:szCs w:val="14"/>
                        </w:rPr>
                      </w:pPr>
                      <w:r w:rsidRPr="006549B2">
                        <w:rPr>
                          <w:rFonts w:ascii="Arial" w:hAnsi="Arial" w:cs="Arial"/>
                          <w:color w:val="000000"/>
                          <w:sz w:val="16"/>
                          <w:szCs w:val="14"/>
                        </w:rPr>
                        <w:t>Elaboración: Departamento de Atención al Sistema Nacional de Coordinación Fiscal.</w:t>
                      </w:r>
                    </w:p>
                  </w:txbxContent>
                </v:textbox>
                <w10:wrap anchorx="margin"/>
              </v:rect>
            </w:pict>
          </mc:Fallback>
        </mc:AlternateContent>
      </w:r>
    </w:p>
    <w:p w14:paraId="5DEBD5E7" w14:textId="4FCEA852" w:rsidR="00563CDA" w:rsidRDefault="00563CDA" w:rsidP="00390849">
      <w:pPr>
        <w:spacing w:after="0" w:line="360" w:lineRule="auto"/>
        <w:jc w:val="both"/>
        <w:rPr>
          <w:noProof/>
        </w:rPr>
      </w:pPr>
    </w:p>
    <w:p w14:paraId="75D0E50E" w14:textId="4E260941" w:rsidR="007D3F49" w:rsidRDefault="007D3F49" w:rsidP="00390849">
      <w:pPr>
        <w:spacing w:after="0" w:line="360" w:lineRule="auto"/>
        <w:jc w:val="both"/>
        <w:rPr>
          <w:noProof/>
          <w:lang w:eastAsia="es-MX"/>
          <w14:ligatures w14:val="none"/>
        </w:rPr>
      </w:pPr>
    </w:p>
    <w:p w14:paraId="3030B423" w14:textId="268A3FC2" w:rsidR="009D339E" w:rsidRDefault="00FF73A2" w:rsidP="00390849">
      <w:pPr>
        <w:spacing w:after="0" w:line="360" w:lineRule="auto"/>
        <w:jc w:val="both"/>
        <w:rPr>
          <w:rFonts w:ascii="Arial" w:hAnsi="Arial" w:cs="Arial"/>
          <w:color w:val="000000" w:themeColor="text1"/>
          <w:sz w:val="20"/>
          <w:szCs w:val="20"/>
        </w:rPr>
      </w:pPr>
      <w:r w:rsidRPr="00506EBD">
        <w:rPr>
          <w:rFonts w:ascii="Arial" w:hAnsi="Arial" w:cs="Arial"/>
          <w:color w:val="000000" w:themeColor="text1"/>
          <w:sz w:val="20"/>
          <w:szCs w:val="20"/>
        </w:rPr>
        <w:t xml:space="preserve"> </w:t>
      </w:r>
    </w:p>
    <w:p w14:paraId="20BCC308" w14:textId="77777777" w:rsidR="00FD13A1" w:rsidRDefault="00FD13A1" w:rsidP="00390849">
      <w:pPr>
        <w:spacing w:after="0" w:line="360" w:lineRule="auto"/>
        <w:jc w:val="both"/>
        <w:rPr>
          <w:rFonts w:ascii="Arial" w:hAnsi="Arial" w:cs="Arial"/>
          <w:color w:val="000000" w:themeColor="text1"/>
          <w:sz w:val="20"/>
          <w:szCs w:val="20"/>
        </w:rPr>
      </w:pPr>
    </w:p>
    <w:p w14:paraId="0494B729" w14:textId="3D792E50" w:rsidR="00D22EC7" w:rsidRDefault="00D22EC7" w:rsidP="00B5173F">
      <w:pPr>
        <w:spacing w:after="0" w:line="360" w:lineRule="auto"/>
        <w:jc w:val="both"/>
        <w:rPr>
          <w:rFonts w:ascii="Arial" w:eastAsia="Calibri" w:hAnsi="Arial" w:cs="Arial"/>
          <w:b/>
          <w:sz w:val="24"/>
          <w:szCs w:val="24"/>
        </w:rPr>
      </w:pPr>
    </w:p>
    <w:p w14:paraId="6CF28256" w14:textId="2E7EFDD3" w:rsidR="00FD13A1" w:rsidRDefault="00FD13A1" w:rsidP="00B5173F">
      <w:pPr>
        <w:spacing w:after="0" w:line="360" w:lineRule="auto"/>
        <w:jc w:val="both"/>
        <w:rPr>
          <w:rFonts w:ascii="Arial" w:eastAsia="Calibri" w:hAnsi="Arial" w:cs="Arial"/>
          <w:b/>
          <w:sz w:val="24"/>
          <w:szCs w:val="24"/>
        </w:rPr>
      </w:pPr>
    </w:p>
    <w:p w14:paraId="06D32FC0" w14:textId="77777777" w:rsidR="00FD13A1" w:rsidRPr="00FD13A1" w:rsidRDefault="00FD13A1" w:rsidP="00150443">
      <w:pPr>
        <w:spacing w:after="240" w:line="360" w:lineRule="auto"/>
        <w:ind w:left="-397"/>
        <w:jc w:val="both"/>
        <w:rPr>
          <w:rFonts w:ascii="Arial" w:eastAsia="Calibri" w:hAnsi="Arial" w:cs="Arial"/>
          <w:kern w:val="0"/>
          <w:sz w:val="24"/>
          <w14:ligatures w14:val="none"/>
        </w:rPr>
      </w:pPr>
      <w:r w:rsidRPr="00FD13A1">
        <w:rPr>
          <w:rFonts w:ascii="Arial" w:eastAsia="Calibri" w:hAnsi="Arial" w:cs="Arial"/>
          <w:kern w:val="0"/>
          <w:sz w:val="24"/>
          <w14:ligatures w14:val="none"/>
        </w:rPr>
        <w:t>Respecto a los recursos destinados a fortalecer los servicios en los rubros de educación, salud, deporte e infraestructura, cabe señalar que, por su naturaleza, no se encuentran sujetos a una asignación anual al Estado. Su disponibilidad depende de que sean contemplados en cada ejercicio dentro del Presupuesto de Egresos de la Federación y, principalmente, de la gestión oportuna que realice el propio Estado. Además, la mayoría de estos programas implican una participación financiera complementaria con recursos propios de la entidad federativa.</w:t>
      </w:r>
    </w:p>
    <w:p w14:paraId="58DC66BC" w14:textId="1A5E2765" w:rsidR="00FD13A1" w:rsidRDefault="00FD13A1" w:rsidP="00B5173F">
      <w:pPr>
        <w:spacing w:after="0" w:line="360" w:lineRule="auto"/>
        <w:jc w:val="both"/>
        <w:rPr>
          <w:rFonts w:ascii="Arial" w:eastAsia="Calibri" w:hAnsi="Arial" w:cs="Arial"/>
          <w:b/>
          <w:sz w:val="24"/>
          <w:szCs w:val="24"/>
        </w:rPr>
      </w:pPr>
    </w:p>
    <w:p w14:paraId="161507F3" w14:textId="77777777" w:rsidR="00FD13A1" w:rsidRDefault="00FD13A1" w:rsidP="00150443">
      <w:pPr>
        <w:spacing w:after="0" w:line="360" w:lineRule="auto"/>
        <w:ind w:left="-397"/>
        <w:jc w:val="both"/>
        <w:rPr>
          <w:rFonts w:ascii="Arial" w:eastAsia="Calibri" w:hAnsi="Arial" w:cs="Arial"/>
          <w:b/>
          <w:sz w:val="24"/>
          <w:szCs w:val="24"/>
        </w:rPr>
      </w:pPr>
    </w:p>
    <w:p w14:paraId="08130D36" w14:textId="49F2D9A7" w:rsidR="00B5173F" w:rsidRDefault="00B5173F" w:rsidP="00150443">
      <w:pPr>
        <w:spacing w:after="0" w:line="360" w:lineRule="auto"/>
        <w:ind w:left="-397"/>
        <w:jc w:val="both"/>
        <w:rPr>
          <w:rFonts w:ascii="Arial" w:eastAsia="Calibri" w:hAnsi="Arial" w:cs="Arial"/>
          <w:b/>
          <w:sz w:val="24"/>
          <w:szCs w:val="24"/>
        </w:rPr>
      </w:pPr>
      <w:r w:rsidRPr="00A70A6A">
        <w:rPr>
          <w:rFonts w:ascii="Arial" w:eastAsia="Calibri" w:hAnsi="Arial" w:cs="Arial"/>
          <w:b/>
          <w:sz w:val="24"/>
          <w:szCs w:val="24"/>
        </w:rPr>
        <w:t>11. Información sobre la Deuda y el Reporte Analítico de la Deuda</w:t>
      </w:r>
      <w:r>
        <w:rPr>
          <w:rFonts w:ascii="Arial" w:eastAsia="Calibri" w:hAnsi="Arial" w:cs="Arial"/>
          <w:b/>
          <w:sz w:val="24"/>
          <w:szCs w:val="24"/>
        </w:rPr>
        <w:t>:</w:t>
      </w:r>
    </w:p>
    <w:p w14:paraId="5F80F488" w14:textId="77777777" w:rsidR="007C4805" w:rsidRDefault="007C4805" w:rsidP="00150443">
      <w:pPr>
        <w:pStyle w:val="Lista"/>
        <w:spacing w:line="360" w:lineRule="auto"/>
        <w:ind w:left="-397"/>
        <w:jc w:val="both"/>
        <w:rPr>
          <w:rFonts w:cs="Arial"/>
          <w:b/>
          <w:sz w:val="24"/>
          <w:szCs w:val="24"/>
        </w:rPr>
      </w:pPr>
    </w:p>
    <w:p w14:paraId="789C6358" w14:textId="057D788F" w:rsidR="00F920CD" w:rsidRDefault="00F920CD" w:rsidP="00150443">
      <w:pPr>
        <w:pStyle w:val="Lista"/>
        <w:spacing w:line="360" w:lineRule="auto"/>
        <w:ind w:left="-114"/>
        <w:jc w:val="both"/>
        <w:rPr>
          <w:rFonts w:cs="Arial"/>
          <w:b/>
          <w:sz w:val="24"/>
          <w:szCs w:val="24"/>
        </w:rPr>
      </w:pPr>
      <w:r w:rsidRPr="00F920CD">
        <w:rPr>
          <w:rFonts w:cs="Arial"/>
          <w:b/>
          <w:sz w:val="24"/>
          <w:szCs w:val="24"/>
        </w:rPr>
        <w:t>Deuda Pública.</w:t>
      </w:r>
    </w:p>
    <w:p w14:paraId="0B02F858" w14:textId="77777777" w:rsidR="00F57933" w:rsidRPr="00F57933" w:rsidRDefault="00F57933" w:rsidP="00150443">
      <w:pPr>
        <w:autoSpaceDE w:val="0"/>
        <w:autoSpaceDN w:val="0"/>
        <w:adjustRightInd w:val="0"/>
        <w:spacing w:after="200" w:line="360" w:lineRule="auto"/>
        <w:ind w:left="-397"/>
        <w:jc w:val="both"/>
        <w:rPr>
          <w:rFonts w:ascii="Arial" w:eastAsia="Calibri" w:hAnsi="Arial" w:cs="Arial"/>
          <w:kern w:val="0"/>
          <w:sz w:val="24"/>
          <w:szCs w:val="24"/>
          <w14:ligatures w14:val="none"/>
        </w:rPr>
      </w:pPr>
      <w:r w:rsidRPr="00F57933">
        <w:rPr>
          <w:rFonts w:ascii="Arial" w:eastAsia="Calibri" w:hAnsi="Arial" w:cs="Arial"/>
          <w:kern w:val="0"/>
          <w:sz w:val="24"/>
          <w:szCs w:val="24"/>
          <w14:ligatures w14:val="none"/>
        </w:rPr>
        <w:t>El saldo de la Deuda Pública al 31 de marzo de 2026, se encontró en 492,351.8 miles de pesos, representando un 100% de Deuda Directa.</w:t>
      </w:r>
    </w:p>
    <w:p w14:paraId="3986AA97" w14:textId="7BC20B5D" w:rsidR="00BD0ADA" w:rsidRDefault="00F57933" w:rsidP="00B5173F">
      <w:pPr>
        <w:pStyle w:val="Lista"/>
        <w:spacing w:line="360" w:lineRule="auto"/>
        <w:jc w:val="both"/>
        <w:rPr>
          <w:rFonts w:cs="Arial"/>
          <w:b/>
          <w:sz w:val="24"/>
          <w:szCs w:val="24"/>
        </w:rPr>
      </w:pPr>
      <w:r w:rsidRPr="00F57933">
        <w:rPr>
          <w:rFonts w:eastAsia="Calibri"/>
          <w:noProof/>
        </w:rPr>
        <w:drawing>
          <wp:inline distT="0" distB="0" distL="0" distR="0" wp14:anchorId="5E3ADE21" wp14:editId="7ED0D8B9">
            <wp:extent cx="5335326" cy="269113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8339" cy="2692650"/>
                    </a:xfrm>
                    <a:prstGeom prst="rect">
                      <a:avLst/>
                    </a:prstGeom>
                    <a:noFill/>
                    <a:ln>
                      <a:noFill/>
                    </a:ln>
                  </pic:spPr>
                </pic:pic>
              </a:graphicData>
            </a:graphic>
          </wp:inline>
        </w:drawing>
      </w:r>
    </w:p>
    <w:p w14:paraId="5EC6E65C" w14:textId="3512693E" w:rsidR="00FE1281" w:rsidRPr="00D22EC7" w:rsidRDefault="00FE1281" w:rsidP="00F920CD">
      <w:pPr>
        <w:autoSpaceDE w:val="0"/>
        <w:autoSpaceDN w:val="0"/>
        <w:adjustRightInd w:val="0"/>
        <w:spacing w:after="0" w:line="360" w:lineRule="auto"/>
        <w:jc w:val="both"/>
        <w:rPr>
          <w:rFonts w:ascii="Arial" w:eastAsia="Calibri" w:hAnsi="Arial" w:cs="Arial"/>
          <w:kern w:val="0"/>
          <w:sz w:val="16"/>
          <w:szCs w:val="16"/>
          <w14:ligatures w14:val="none"/>
        </w:rPr>
      </w:pPr>
      <w:r w:rsidRPr="00D22EC7">
        <w:rPr>
          <w:rFonts w:ascii="Arial" w:eastAsia="Calibri" w:hAnsi="Arial" w:cs="Arial"/>
          <w:b/>
          <w:bCs/>
          <w:i/>
          <w:kern w:val="0"/>
          <w:sz w:val="16"/>
          <w:szCs w:val="16"/>
          <w:lang w:val="es-ES_tradnl" w:eastAsia="es-ES"/>
          <w14:ligatures w14:val="none"/>
        </w:rPr>
        <w:t>FUENTE: Elaboración Propia SEFINA.</w:t>
      </w:r>
    </w:p>
    <w:p w14:paraId="302701DF" w14:textId="20D7F9D5" w:rsidR="00003E41" w:rsidRDefault="00003E41" w:rsidP="00F920CD">
      <w:pPr>
        <w:autoSpaceDE w:val="0"/>
        <w:autoSpaceDN w:val="0"/>
        <w:adjustRightInd w:val="0"/>
        <w:spacing w:after="0" w:line="360" w:lineRule="auto"/>
        <w:jc w:val="both"/>
        <w:rPr>
          <w:rFonts w:ascii="Arial" w:eastAsia="Calibri" w:hAnsi="Arial" w:cs="Arial"/>
          <w:kern w:val="0"/>
          <w:sz w:val="24"/>
          <w14:ligatures w14:val="none"/>
        </w:rPr>
      </w:pPr>
    </w:p>
    <w:p w14:paraId="42B30D63" w14:textId="77777777" w:rsidR="00BD0ADA" w:rsidRPr="00BD0ADA" w:rsidRDefault="00BD0ADA" w:rsidP="00150443">
      <w:pPr>
        <w:autoSpaceDE w:val="0"/>
        <w:autoSpaceDN w:val="0"/>
        <w:adjustRightInd w:val="0"/>
        <w:spacing w:after="200" w:line="360" w:lineRule="auto"/>
        <w:ind w:left="-397"/>
        <w:jc w:val="both"/>
        <w:rPr>
          <w:rFonts w:ascii="Arial" w:eastAsia="Calibri" w:hAnsi="Arial" w:cs="Arial"/>
          <w:kern w:val="0"/>
          <w:sz w:val="24"/>
          <w:szCs w:val="24"/>
          <w14:ligatures w14:val="none"/>
        </w:rPr>
      </w:pPr>
      <w:r w:rsidRPr="00BD0ADA">
        <w:rPr>
          <w:rFonts w:ascii="Arial" w:eastAsia="Calibri" w:hAnsi="Arial" w:cs="Arial"/>
          <w:kern w:val="0"/>
          <w:sz w:val="24"/>
          <w:szCs w:val="24"/>
          <w14:ligatures w14:val="none"/>
        </w:rPr>
        <w:lastRenderedPageBreak/>
        <w:t>Es preciso señalar que el crédito de 459,000.0 miles de pesos correspondiente al Programa de Financiamiento para la infraestructura y la Seguridad de los Estados (PROFISE O CUPÓN CERO), de acuerdo a su modalidad, no implica el pago de capital por parte del Estado, ya que será cubierto a su vencimiento con recursos que se encuentran en el Fideicomiso Federal, por tal efecto no se presenta en las obligaciones directas del Estado.</w:t>
      </w:r>
    </w:p>
    <w:p w14:paraId="761A2066" w14:textId="77777777" w:rsidR="00F57933" w:rsidRPr="00F57933" w:rsidRDefault="00F57933" w:rsidP="00150443">
      <w:pPr>
        <w:autoSpaceDE w:val="0"/>
        <w:autoSpaceDN w:val="0"/>
        <w:adjustRightInd w:val="0"/>
        <w:spacing w:after="200" w:line="360" w:lineRule="auto"/>
        <w:ind w:left="-397"/>
        <w:jc w:val="both"/>
        <w:rPr>
          <w:rFonts w:ascii="Arial" w:eastAsia="Calibri" w:hAnsi="Arial" w:cs="Arial"/>
          <w:kern w:val="0"/>
          <w:sz w:val="24"/>
          <w:szCs w:val="24"/>
          <w14:ligatures w14:val="none"/>
        </w:rPr>
      </w:pPr>
      <w:r w:rsidRPr="00F57933">
        <w:rPr>
          <w:rFonts w:ascii="Arial" w:eastAsia="Calibri" w:hAnsi="Arial" w:cs="Arial"/>
          <w:kern w:val="0"/>
          <w:sz w:val="24"/>
          <w:szCs w:val="24"/>
          <w14:ligatures w14:val="none"/>
        </w:rPr>
        <w:t>En el Informe comprendido de Enero a Marzo de 2026, se ejercieron 31,655.3 miles de pesos, de los cuales, 12,730.1 miles de pesos, correspondieron a la amortización de capital y 18,925.2 miles de pesos al pago de intereses, como se muestra a continuación:</w:t>
      </w:r>
    </w:p>
    <w:p w14:paraId="23E64168" w14:textId="182C97D2" w:rsidR="00BD0ADA" w:rsidRDefault="00BD0ADA" w:rsidP="00F920CD">
      <w:pPr>
        <w:autoSpaceDE w:val="0"/>
        <w:autoSpaceDN w:val="0"/>
        <w:adjustRightInd w:val="0"/>
        <w:spacing w:after="0" w:line="360" w:lineRule="auto"/>
        <w:jc w:val="both"/>
        <w:rPr>
          <w:rFonts w:ascii="Arial" w:eastAsia="Calibri" w:hAnsi="Arial" w:cs="Arial"/>
          <w:kern w:val="0"/>
          <w:sz w:val="24"/>
          <w14:ligatures w14:val="none"/>
        </w:rPr>
      </w:pPr>
    </w:p>
    <w:p w14:paraId="01C9045F" w14:textId="050892BF" w:rsidR="00BD0ADA" w:rsidRDefault="00F57933" w:rsidP="00F920CD">
      <w:pPr>
        <w:autoSpaceDE w:val="0"/>
        <w:autoSpaceDN w:val="0"/>
        <w:adjustRightInd w:val="0"/>
        <w:spacing w:after="0" w:line="360" w:lineRule="auto"/>
        <w:jc w:val="both"/>
        <w:rPr>
          <w:rFonts w:ascii="Arial" w:eastAsia="Calibri" w:hAnsi="Arial" w:cs="Arial"/>
          <w:kern w:val="0"/>
          <w:sz w:val="24"/>
          <w14:ligatures w14:val="none"/>
        </w:rPr>
      </w:pPr>
      <w:r w:rsidRPr="00F57933">
        <w:rPr>
          <w:rFonts w:ascii="Arial" w:eastAsia="Calibri" w:hAnsi="Arial" w:cs="Times New Roman"/>
          <w:noProof/>
          <w:kern w:val="0"/>
          <w:sz w:val="26"/>
          <w:szCs w:val="20"/>
          <w:lang w:val="es-ES" w:eastAsia="es-ES"/>
          <w14:ligatures w14:val="none"/>
        </w:rPr>
        <w:drawing>
          <wp:inline distT="0" distB="0" distL="0" distR="0" wp14:anchorId="34F255E5" wp14:editId="52B8C38A">
            <wp:extent cx="5612130" cy="142938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12130" cy="1429385"/>
                    </a:xfrm>
                    <a:prstGeom prst="rect">
                      <a:avLst/>
                    </a:prstGeom>
                    <a:noFill/>
                    <a:ln>
                      <a:noFill/>
                    </a:ln>
                  </pic:spPr>
                </pic:pic>
              </a:graphicData>
            </a:graphic>
          </wp:inline>
        </w:drawing>
      </w:r>
    </w:p>
    <w:p w14:paraId="3255DC2C" w14:textId="48906345" w:rsidR="00A66887" w:rsidRDefault="00A66887" w:rsidP="00FE1281">
      <w:pPr>
        <w:autoSpaceDE w:val="0"/>
        <w:autoSpaceDN w:val="0"/>
        <w:adjustRightInd w:val="0"/>
        <w:spacing w:after="200" w:line="360" w:lineRule="auto"/>
        <w:jc w:val="both"/>
        <w:rPr>
          <w:rFonts w:ascii="Arial" w:eastAsia="Calibri" w:hAnsi="Arial" w:cs="Arial"/>
          <w:kern w:val="0"/>
          <w:sz w:val="24"/>
          <w:szCs w:val="24"/>
          <w14:ligatures w14:val="none"/>
        </w:rPr>
      </w:pPr>
    </w:p>
    <w:p w14:paraId="5CA3D949" w14:textId="22825D6C" w:rsidR="00F920CD" w:rsidRPr="007C4805" w:rsidRDefault="00F920CD" w:rsidP="00F920CD">
      <w:pPr>
        <w:autoSpaceDE w:val="0"/>
        <w:autoSpaceDN w:val="0"/>
        <w:adjustRightInd w:val="0"/>
        <w:spacing w:after="0" w:line="360" w:lineRule="auto"/>
        <w:jc w:val="both"/>
        <w:rPr>
          <w:rFonts w:ascii="Arial" w:hAnsi="Arial" w:cs="Arial"/>
          <w:sz w:val="16"/>
          <w:szCs w:val="16"/>
        </w:rPr>
      </w:pPr>
      <w:bookmarkStart w:id="28" w:name="_Hlk180572800"/>
      <w:bookmarkStart w:id="29" w:name="_Hlk172367807"/>
      <w:r w:rsidRPr="007C4805">
        <w:rPr>
          <w:rFonts w:ascii="Arial" w:eastAsia="Calibri" w:hAnsi="Arial" w:cs="Arial"/>
          <w:b/>
          <w:bCs/>
          <w:i/>
          <w:sz w:val="16"/>
          <w:szCs w:val="16"/>
          <w:lang w:val="es-ES_tradnl"/>
        </w:rPr>
        <w:t>FUENTE: Elaboración Propia SEFINA</w:t>
      </w:r>
      <w:bookmarkEnd w:id="28"/>
      <w:r w:rsidRPr="007C4805">
        <w:rPr>
          <w:rFonts w:ascii="Arial" w:eastAsia="Calibri" w:hAnsi="Arial" w:cs="Arial"/>
          <w:b/>
          <w:bCs/>
          <w:i/>
          <w:sz w:val="16"/>
          <w:szCs w:val="16"/>
          <w:lang w:val="es-ES_tradnl"/>
        </w:rPr>
        <w:t>.</w:t>
      </w:r>
    </w:p>
    <w:bookmarkEnd w:id="29"/>
    <w:p w14:paraId="3527F426" w14:textId="77777777" w:rsidR="00A916E7" w:rsidRPr="00F920CD" w:rsidRDefault="00A916E7" w:rsidP="00F920CD">
      <w:pPr>
        <w:autoSpaceDE w:val="0"/>
        <w:autoSpaceDN w:val="0"/>
        <w:adjustRightInd w:val="0"/>
        <w:spacing w:after="0" w:line="360" w:lineRule="auto"/>
        <w:jc w:val="both"/>
        <w:rPr>
          <w:rFonts w:ascii="Arial" w:hAnsi="Arial" w:cs="Arial"/>
          <w:sz w:val="24"/>
          <w:szCs w:val="24"/>
        </w:rPr>
      </w:pPr>
    </w:p>
    <w:p w14:paraId="31FCD6C3" w14:textId="0F304277" w:rsidR="00FE1281" w:rsidRDefault="00F920CD" w:rsidP="00150443">
      <w:pPr>
        <w:autoSpaceDE w:val="0"/>
        <w:autoSpaceDN w:val="0"/>
        <w:adjustRightInd w:val="0"/>
        <w:spacing w:after="0" w:line="360" w:lineRule="auto"/>
        <w:ind w:left="-397"/>
        <w:jc w:val="both"/>
        <w:rPr>
          <w:rFonts w:ascii="Arial" w:hAnsi="Arial" w:cs="Arial"/>
          <w:sz w:val="24"/>
          <w:szCs w:val="24"/>
        </w:rPr>
      </w:pPr>
      <w:r w:rsidRPr="00F920CD">
        <w:rPr>
          <w:rFonts w:ascii="Arial" w:hAnsi="Arial" w:cs="Arial"/>
          <w:sz w:val="24"/>
          <w:szCs w:val="24"/>
        </w:rPr>
        <w:t>El pago de la amortización ha permitido una disminución</w:t>
      </w:r>
      <w:r w:rsidR="007C4805">
        <w:rPr>
          <w:rFonts w:ascii="Arial" w:hAnsi="Arial" w:cs="Arial"/>
          <w:sz w:val="24"/>
          <w:szCs w:val="24"/>
        </w:rPr>
        <w:t xml:space="preserve"> importante en el saldo de la Deuda pública de largo plazo el </w:t>
      </w:r>
      <w:r w:rsidR="007C4805" w:rsidRPr="00F920CD">
        <w:rPr>
          <w:rFonts w:ascii="Arial" w:hAnsi="Arial" w:cs="Arial"/>
          <w:sz w:val="24"/>
          <w:szCs w:val="24"/>
        </w:rPr>
        <w:t>cual</w:t>
      </w:r>
      <w:r w:rsidRPr="00F920CD">
        <w:rPr>
          <w:rFonts w:ascii="Arial" w:hAnsi="Arial" w:cs="Arial"/>
          <w:sz w:val="24"/>
          <w:szCs w:val="24"/>
        </w:rPr>
        <w:t xml:space="preserve"> se </w:t>
      </w:r>
      <w:r w:rsidR="007C4805">
        <w:rPr>
          <w:rFonts w:ascii="Arial" w:hAnsi="Arial" w:cs="Arial"/>
          <w:sz w:val="24"/>
          <w:szCs w:val="24"/>
        </w:rPr>
        <w:t xml:space="preserve">refleja en el </w:t>
      </w:r>
      <w:r w:rsidR="007C4805" w:rsidRPr="00F920CD">
        <w:rPr>
          <w:rFonts w:ascii="Arial" w:hAnsi="Arial" w:cs="Arial"/>
          <w:sz w:val="24"/>
          <w:szCs w:val="24"/>
        </w:rPr>
        <w:t>cuadro</w:t>
      </w:r>
      <w:r w:rsidR="007C4805">
        <w:rPr>
          <w:rFonts w:ascii="Arial" w:hAnsi="Arial" w:cs="Arial"/>
          <w:sz w:val="24"/>
          <w:szCs w:val="24"/>
        </w:rPr>
        <w:t xml:space="preserve"> </w:t>
      </w:r>
      <w:r w:rsidR="00FE1281">
        <w:rPr>
          <w:rFonts w:ascii="Arial" w:hAnsi="Arial" w:cs="Arial"/>
          <w:sz w:val="24"/>
          <w:szCs w:val="24"/>
        </w:rPr>
        <w:t>siguiente</w:t>
      </w:r>
      <w:r w:rsidR="007C4805">
        <w:rPr>
          <w:rFonts w:ascii="Arial" w:hAnsi="Arial" w:cs="Arial"/>
          <w:sz w:val="24"/>
          <w:szCs w:val="24"/>
        </w:rPr>
        <w:t>.</w:t>
      </w:r>
    </w:p>
    <w:p w14:paraId="497280D5" w14:textId="20425C12" w:rsidR="00FB3644" w:rsidRDefault="00FB3644" w:rsidP="00F920CD">
      <w:pPr>
        <w:autoSpaceDE w:val="0"/>
        <w:autoSpaceDN w:val="0"/>
        <w:adjustRightInd w:val="0"/>
        <w:spacing w:after="0" w:line="360" w:lineRule="auto"/>
        <w:jc w:val="both"/>
        <w:rPr>
          <w:rFonts w:ascii="Arial" w:hAnsi="Arial" w:cs="Arial"/>
          <w:sz w:val="24"/>
          <w:szCs w:val="24"/>
        </w:rPr>
      </w:pPr>
    </w:p>
    <w:p w14:paraId="2CD2CF3E" w14:textId="07EBDA14" w:rsidR="00FB3644" w:rsidRDefault="00F57933" w:rsidP="00F920CD">
      <w:pPr>
        <w:autoSpaceDE w:val="0"/>
        <w:autoSpaceDN w:val="0"/>
        <w:adjustRightInd w:val="0"/>
        <w:spacing w:after="0" w:line="360" w:lineRule="auto"/>
        <w:jc w:val="both"/>
        <w:rPr>
          <w:rFonts w:ascii="Arial" w:hAnsi="Arial" w:cs="Arial"/>
          <w:sz w:val="24"/>
          <w:szCs w:val="24"/>
        </w:rPr>
      </w:pPr>
      <w:r w:rsidRPr="00F57933">
        <w:rPr>
          <w:rFonts w:ascii="Arial" w:eastAsia="Calibri" w:hAnsi="Arial" w:cs="Times New Roman"/>
          <w:noProof/>
          <w:kern w:val="0"/>
          <w:sz w:val="26"/>
          <w:szCs w:val="20"/>
          <w:lang w:val="es-ES" w:eastAsia="es-ES"/>
          <w14:ligatures w14:val="none"/>
        </w:rPr>
        <w:drawing>
          <wp:inline distT="0" distB="0" distL="0" distR="0" wp14:anchorId="7E19E15E" wp14:editId="338763E1">
            <wp:extent cx="5612130" cy="1250950"/>
            <wp:effectExtent l="0" t="0" r="7620" b="635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1250950"/>
                    </a:xfrm>
                    <a:prstGeom prst="rect">
                      <a:avLst/>
                    </a:prstGeom>
                    <a:noFill/>
                    <a:ln>
                      <a:noFill/>
                    </a:ln>
                  </pic:spPr>
                </pic:pic>
              </a:graphicData>
            </a:graphic>
          </wp:inline>
        </w:drawing>
      </w:r>
    </w:p>
    <w:p w14:paraId="01371810" w14:textId="15326904" w:rsidR="00FB3644" w:rsidRDefault="00FB3644" w:rsidP="00F920CD">
      <w:pPr>
        <w:autoSpaceDE w:val="0"/>
        <w:autoSpaceDN w:val="0"/>
        <w:adjustRightInd w:val="0"/>
        <w:spacing w:after="0" w:line="360" w:lineRule="auto"/>
        <w:jc w:val="both"/>
        <w:rPr>
          <w:rFonts w:ascii="Arial" w:hAnsi="Arial" w:cs="Arial"/>
          <w:sz w:val="24"/>
          <w:szCs w:val="24"/>
        </w:rPr>
      </w:pPr>
    </w:p>
    <w:p w14:paraId="62D64CA5" w14:textId="02A63B4E" w:rsidR="00FB3644" w:rsidRDefault="0026602F" w:rsidP="005A2191">
      <w:pPr>
        <w:autoSpaceDE w:val="0"/>
        <w:autoSpaceDN w:val="0"/>
        <w:adjustRightInd w:val="0"/>
        <w:spacing w:after="0" w:line="360" w:lineRule="auto"/>
        <w:jc w:val="both"/>
        <w:rPr>
          <w:rFonts w:ascii="Arial" w:eastAsia="Calibri" w:hAnsi="Arial" w:cs="Arial"/>
          <w:b/>
          <w:bCs/>
          <w:i/>
          <w:sz w:val="24"/>
          <w:szCs w:val="24"/>
          <w:lang w:val="es-ES_tradnl" w:eastAsia="es-ES"/>
        </w:rPr>
      </w:pPr>
      <w:r w:rsidRPr="007C4805">
        <w:rPr>
          <w:rFonts w:ascii="Arial" w:eastAsia="Calibri" w:hAnsi="Arial" w:cs="Arial"/>
          <w:b/>
          <w:bCs/>
          <w:i/>
          <w:sz w:val="16"/>
          <w:szCs w:val="16"/>
          <w:lang w:val="es-ES_tradnl"/>
        </w:rPr>
        <w:t>FUENTE: Elaboración Propia SEFINA</w:t>
      </w:r>
    </w:p>
    <w:p w14:paraId="65294319" w14:textId="77777777" w:rsidR="0026602F" w:rsidRDefault="0026602F" w:rsidP="005A2191">
      <w:pPr>
        <w:autoSpaceDE w:val="0"/>
        <w:autoSpaceDN w:val="0"/>
        <w:adjustRightInd w:val="0"/>
        <w:spacing w:after="0" w:line="360" w:lineRule="auto"/>
        <w:jc w:val="both"/>
        <w:rPr>
          <w:rFonts w:ascii="Arial" w:eastAsia="Calibri" w:hAnsi="Arial" w:cs="Arial"/>
          <w:b/>
          <w:bCs/>
          <w:i/>
          <w:sz w:val="24"/>
          <w:szCs w:val="24"/>
          <w:lang w:val="es-ES_tradnl" w:eastAsia="es-ES"/>
        </w:rPr>
      </w:pPr>
    </w:p>
    <w:p w14:paraId="2B281233" w14:textId="3E3DD536" w:rsidR="005A2191" w:rsidRDefault="005A2191" w:rsidP="00150443">
      <w:pPr>
        <w:autoSpaceDE w:val="0"/>
        <w:autoSpaceDN w:val="0"/>
        <w:adjustRightInd w:val="0"/>
        <w:spacing w:after="0" w:line="360" w:lineRule="auto"/>
        <w:ind w:left="-397"/>
        <w:jc w:val="both"/>
        <w:rPr>
          <w:rFonts w:ascii="Arial" w:eastAsia="Calibri" w:hAnsi="Arial" w:cs="Arial"/>
          <w:b/>
          <w:bCs/>
          <w:i/>
          <w:sz w:val="24"/>
          <w:szCs w:val="24"/>
          <w:lang w:val="es-ES_tradnl" w:eastAsia="es-ES"/>
        </w:rPr>
      </w:pPr>
      <w:r>
        <w:rPr>
          <w:rFonts w:ascii="Arial" w:eastAsia="Calibri" w:hAnsi="Arial" w:cs="Arial"/>
          <w:b/>
          <w:bCs/>
          <w:i/>
          <w:sz w:val="24"/>
          <w:szCs w:val="24"/>
          <w:lang w:val="es-ES_tradnl" w:eastAsia="es-ES"/>
        </w:rPr>
        <w:lastRenderedPageBreak/>
        <w:t xml:space="preserve">12. </w:t>
      </w:r>
      <w:r w:rsidRPr="00A82EE9">
        <w:rPr>
          <w:rFonts w:ascii="Arial" w:eastAsia="Calibri" w:hAnsi="Arial" w:cs="Arial"/>
          <w:b/>
          <w:bCs/>
          <w:i/>
          <w:sz w:val="24"/>
          <w:szCs w:val="24"/>
          <w:lang w:val="es-ES_tradnl" w:eastAsia="es-ES"/>
        </w:rPr>
        <w:t>Calificaciones Ot</w:t>
      </w:r>
      <w:r>
        <w:rPr>
          <w:rFonts w:ascii="Arial" w:eastAsia="Calibri" w:hAnsi="Arial" w:cs="Arial"/>
          <w:b/>
          <w:bCs/>
          <w:i/>
          <w:sz w:val="24"/>
          <w:szCs w:val="24"/>
          <w:lang w:val="es-ES_tradnl" w:eastAsia="es-ES"/>
        </w:rPr>
        <w:t>or</w:t>
      </w:r>
      <w:r w:rsidRPr="00A82EE9">
        <w:rPr>
          <w:rFonts w:ascii="Arial" w:eastAsia="Calibri" w:hAnsi="Arial" w:cs="Arial"/>
          <w:b/>
          <w:bCs/>
          <w:i/>
          <w:sz w:val="24"/>
          <w:szCs w:val="24"/>
          <w:lang w:val="es-ES_tradnl" w:eastAsia="es-ES"/>
        </w:rPr>
        <w:t>gadas</w:t>
      </w:r>
    </w:p>
    <w:p w14:paraId="65677949" w14:textId="6708D097" w:rsidR="00003E41" w:rsidRPr="00003E41" w:rsidRDefault="00F920CD" w:rsidP="00150443">
      <w:pPr>
        <w:autoSpaceDE w:val="0"/>
        <w:autoSpaceDN w:val="0"/>
        <w:adjustRightInd w:val="0"/>
        <w:spacing w:after="200" w:line="360" w:lineRule="auto"/>
        <w:ind w:left="-397"/>
        <w:jc w:val="both"/>
        <w:rPr>
          <w:rFonts w:ascii="Arial" w:eastAsia="Times New Roman" w:hAnsi="Arial" w:cs="Times New Roman"/>
          <w:kern w:val="0"/>
          <w:sz w:val="26"/>
          <w:szCs w:val="20"/>
          <w:lang w:eastAsia="es-ES"/>
          <w14:ligatures w14:val="none"/>
        </w:rPr>
      </w:pPr>
      <w:r w:rsidRPr="00F920CD">
        <w:rPr>
          <w:rFonts w:ascii="Arial" w:hAnsi="Arial" w:cs="Arial"/>
          <w:sz w:val="24"/>
          <w:szCs w:val="24"/>
        </w:rPr>
        <w:t xml:space="preserve"> </w:t>
      </w:r>
      <w:r w:rsidR="00003E41">
        <w:rPr>
          <w:rFonts w:ascii="Arial" w:hAnsi="Arial" w:cs="Arial"/>
          <w:sz w:val="24"/>
          <w:szCs w:val="24"/>
        </w:rPr>
        <w:t>Considerando lo anterior y el manejo razonable de la deuda,</w:t>
      </w:r>
      <w:r w:rsidR="00C1348E">
        <w:rPr>
          <w:rFonts w:ascii="Arial" w:hAnsi="Arial" w:cs="Arial"/>
          <w:sz w:val="24"/>
          <w:szCs w:val="24"/>
        </w:rPr>
        <w:t xml:space="preserve"> ha permitido que </w:t>
      </w:r>
      <w:r w:rsidR="00C1348E">
        <w:rPr>
          <w:rFonts w:ascii="Arial" w:eastAsia="Calibri" w:hAnsi="Arial" w:cs="Arial"/>
          <w:kern w:val="0"/>
          <w:sz w:val="24"/>
          <w:szCs w:val="24"/>
          <w14:ligatures w14:val="none"/>
        </w:rPr>
        <w:t>e</w:t>
      </w:r>
      <w:r w:rsidR="00003E41" w:rsidRPr="00003E41">
        <w:rPr>
          <w:rFonts w:ascii="Arial" w:eastAsia="Calibri" w:hAnsi="Arial" w:cs="Arial"/>
          <w:kern w:val="0"/>
          <w:sz w:val="24"/>
          <w:szCs w:val="24"/>
          <w14:ligatures w14:val="none"/>
        </w:rPr>
        <w:t xml:space="preserve">l nivel de </w:t>
      </w:r>
      <w:r w:rsidR="00C1348E" w:rsidRPr="00003E41">
        <w:rPr>
          <w:rFonts w:ascii="Arial" w:eastAsia="Calibri" w:hAnsi="Arial" w:cs="Arial"/>
          <w:kern w:val="0"/>
          <w:sz w:val="24"/>
          <w:szCs w:val="24"/>
          <w14:ligatures w14:val="none"/>
        </w:rPr>
        <w:t>endeudamiento</w:t>
      </w:r>
      <w:r w:rsidR="00003E41" w:rsidRPr="00003E41">
        <w:rPr>
          <w:rFonts w:ascii="Arial" w:eastAsia="Calibri" w:hAnsi="Arial" w:cs="Arial"/>
          <w:kern w:val="0"/>
          <w:sz w:val="24"/>
          <w:szCs w:val="24"/>
          <w14:ligatures w14:val="none"/>
        </w:rPr>
        <w:t xml:space="preserve"> </w:t>
      </w:r>
      <w:r w:rsidR="00C1348E">
        <w:rPr>
          <w:rFonts w:ascii="Arial" w:eastAsia="Calibri" w:hAnsi="Arial" w:cs="Arial"/>
          <w:kern w:val="0"/>
          <w:sz w:val="24"/>
          <w:szCs w:val="24"/>
          <w14:ligatures w14:val="none"/>
        </w:rPr>
        <w:t>sea</w:t>
      </w:r>
      <w:r w:rsidR="00003E41" w:rsidRPr="00003E41">
        <w:rPr>
          <w:rFonts w:ascii="Arial" w:eastAsia="Calibri" w:hAnsi="Arial" w:cs="Arial"/>
          <w:kern w:val="0"/>
          <w:sz w:val="24"/>
          <w:szCs w:val="24"/>
          <w14:ligatures w14:val="none"/>
        </w:rPr>
        <w:t xml:space="preserve"> reconocido mediante las calificaciones crediticias asignadas por </w:t>
      </w:r>
      <w:r w:rsidR="00003E41" w:rsidRPr="00003E41">
        <w:rPr>
          <w:rFonts w:ascii="Arial" w:eastAsia="Times New Roman" w:hAnsi="Arial" w:cs="Arial"/>
          <w:kern w:val="0"/>
          <w:sz w:val="24"/>
          <w:szCs w:val="24"/>
          <w:lang w:val="es-ES" w:eastAsia="es-ES"/>
          <w14:ligatures w14:val="none"/>
        </w:rPr>
        <w:t>Fitch Ratings que otorga una calificación crediticia BBB.mx Perspectiva Crediticia Negativa; Moody´s de México, BBB.mx Perspectiva Crediticia Negativa; y Standard &amp; Poors Global, mxBBB Perspectiva Crediticia Estable</w:t>
      </w:r>
      <w:r w:rsidR="00003E41" w:rsidRPr="00003E41">
        <w:rPr>
          <w:rFonts w:ascii="Arial" w:eastAsia="Calibri" w:hAnsi="Arial" w:cs="Arial"/>
          <w:kern w:val="0"/>
          <w:sz w:val="24"/>
          <w:szCs w:val="24"/>
          <w14:ligatures w14:val="none"/>
        </w:rPr>
        <w:t>.</w:t>
      </w:r>
    </w:p>
    <w:p w14:paraId="33E575BC" w14:textId="6AA3AE4E" w:rsidR="003A43D6" w:rsidRDefault="003A43D6" w:rsidP="00F920CD">
      <w:pPr>
        <w:autoSpaceDE w:val="0"/>
        <w:autoSpaceDN w:val="0"/>
        <w:adjustRightInd w:val="0"/>
        <w:spacing w:after="0" w:line="360" w:lineRule="auto"/>
        <w:jc w:val="both"/>
        <w:rPr>
          <w:rFonts w:ascii="Arial" w:hAnsi="Arial" w:cs="Arial"/>
          <w:sz w:val="24"/>
          <w:szCs w:val="24"/>
        </w:rPr>
      </w:pPr>
    </w:p>
    <w:p w14:paraId="5E58A056" w14:textId="2D171B75" w:rsidR="00B5173F" w:rsidRDefault="00B5173F" w:rsidP="00150443">
      <w:pPr>
        <w:spacing w:after="0" w:line="360" w:lineRule="auto"/>
        <w:ind w:left="-340"/>
        <w:jc w:val="both"/>
        <w:rPr>
          <w:rFonts w:ascii="Arial" w:eastAsia="Calibri" w:hAnsi="Arial" w:cs="Arial"/>
          <w:b/>
        </w:rPr>
      </w:pPr>
      <w:r w:rsidRPr="00A82EE9">
        <w:rPr>
          <w:rFonts w:ascii="Arial" w:eastAsia="Calibri" w:hAnsi="Arial" w:cs="Arial"/>
          <w:b/>
        </w:rPr>
        <w:t>13. Proceso de Mejora:</w:t>
      </w:r>
    </w:p>
    <w:p w14:paraId="6A8520DB" w14:textId="77777777" w:rsidR="00150443" w:rsidRDefault="00150443" w:rsidP="00150443">
      <w:pPr>
        <w:spacing w:after="0" w:line="360" w:lineRule="auto"/>
        <w:ind w:left="-340"/>
        <w:jc w:val="both"/>
        <w:rPr>
          <w:rFonts w:ascii="Arial" w:eastAsia="Calibri" w:hAnsi="Arial" w:cs="Arial"/>
          <w:b/>
        </w:rPr>
      </w:pPr>
    </w:p>
    <w:p w14:paraId="2CD43BB5" w14:textId="37BFF5DC" w:rsidR="00B5173F" w:rsidRPr="00A82EE9" w:rsidRDefault="00B5173F" w:rsidP="00150443">
      <w:pPr>
        <w:spacing w:after="0" w:line="360" w:lineRule="auto"/>
        <w:ind w:left="-340"/>
        <w:jc w:val="both"/>
        <w:rPr>
          <w:rFonts w:ascii="Arial" w:eastAsia="Calibri" w:hAnsi="Arial" w:cs="Arial"/>
          <w:sz w:val="24"/>
          <w:szCs w:val="24"/>
        </w:rPr>
      </w:pPr>
      <w:r w:rsidRPr="00A82EE9">
        <w:rPr>
          <w:rFonts w:ascii="Arial" w:eastAsia="Calibri" w:hAnsi="Arial" w:cs="Arial"/>
          <w:sz w:val="24"/>
          <w:szCs w:val="24"/>
        </w:rPr>
        <w:t>Se informará de:</w:t>
      </w:r>
    </w:p>
    <w:p w14:paraId="4B77C76E" w14:textId="38412F4A" w:rsidR="00B5173F" w:rsidRPr="00A82EE9" w:rsidRDefault="00B5173F" w:rsidP="00150443">
      <w:pPr>
        <w:spacing w:after="0" w:line="360" w:lineRule="auto"/>
        <w:ind w:left="-340"/>
        <w:jc w:val="both"/>
        <w:rPr>
          <w:rFonts w:ascii="Arial" w:eastAsia="Calibri" w:hAnsi="Arial" w:cs="Arial"/>
          <w:sz w:val="24"/>
          <w:szCs w:val="24"/>
        </w:rPr>
      </w:pPr>
      <w:r w:rsidRPr="00A82EE9">
        <w:rPr>
          <w:rFonts w:ascii="Arial" w:eastAsia="Calibri" w:hAnsi="Arial" w:cs="Arial"/>
          <w:b/>
          <w:sz w:val="24"/>
          <w:szCs w:val="24"/>
        </w:rPr>
        <w:t>a)</w:t>
      </w:r>
      <w:r w:rsidRPr="00A82EE9">
        <w:rPr>
          <w:rFonts w:ascii="Arial" w:eastAsia="Calibri" w:hAnsi="Arial" w:cs="Arial"/>
          <w:sz w:val="24"/>
          <w:szCs w:val="24"/>
        </w:rPr>
        <w:t xml:space="preserve"> Principales Políticas de control interno: No aplica.</w:t>
      </w:r>
    </w:p>
    <w:p w14:paraId="4D2AA0CD" w14:textId="77777777" w:rsidR="00B5173F" w:rsidRPr="00A82EE9" w:rsidRDefault="00B5173F" w:rsidP="00150443">
      <w:pPr>
        <w:spacing w:after="0" w:line="360" w:lineRule="auto"/>
        <w:ind w:left="-340"/>
        <w:jc w:val="both"/>
        <w:rPr>
          <w:rFonts w:ascii="Arial" w:eastAsia="Calibri" w:hAnsi="Arial" w:cs="Arial"/>
          <w:sz w:val="24"/>
          <w:szCs w:val="24"/>
        </w:rPr>
      </w:pPr>
      <w:r w:rsidRPr="00A82EE9">
        <w:rPr>
          <w:rFonts w:ascii="Arial" w:eastAsia="Calibri" w:hAnsi="Arial" w:cs="Arial"/>
          <w:b/>
          <w:sz w:val="24"/>
          <w:szCs w:val="24"/>
        </w:rPr>
        <w:t>b)</w:t>
      </w:r>
      <w:r w:rsidRPr="00A82EE9">
        <w:rPr>
          <w:rFonts w:ascii="Arial" w:eastAsia="Calibri" w:hAnsi="Arial" w:cs="Arial"/>
          <w:sz w:val="24"/>
          <w:szCs w:val="24"/>
        </w:rPr>
        <w:t xml:space="preserve"> Medidas de desempeño financiero, metas y alcance: No aplica.</w:t>
      </w:r>
    </w:p>
    <w:p w14:paraId="7767AA24" w14:textId="77777777" w:rsidR="00B5173F" w:rsidRDefault="00B5173F" w:rsidP="00150443">
      <w:pPr>
        <w:spacing w:after="0" w:line="360" w:lineRule="auto"/>
        <w:ind w:left="-340"/>
        <w:jc w:val="both"/>
        <w:rPr>
          <w:rFonts w:ascii="Arial" w:eastAsia="Calibri" w:hAnsi="Arial" w:cs="Arial"/>
          <w:sz w:val="24"/>
          <w:szCs w:val="24"/>
        </w:rPr>
      </w:pPr>
    </w:p>
    <w:p w14:paraId="4A9987AE" w14:textId="633EB96C" w:rsidR="00B5173F" w:rsidRDefault="00B5173F" w:rsidP="00150443">
      <w:pPr>
        <w:spacing w:after="0" w:line="360" w:lineRule="auto"/>
        <w:ind w:left="-340"/>
        <w:jc w:val="both"/>
        <w:rPr>
          <w:rFonts w:ascii="Arial" w:eastAsia="Calibri" w:hAnsi="Arial" w:cs="Arial"/>
          <w:b/>
          <w:sz w:val="24"/>
          <w:szCs w:val="24"/>
        </w:rPr>
      </w:pPr>
      <w:r w:rsidRPr="00A82EE9">
        <w:rPr>
          <w:rFonts w:ascii="Arial" w:eastAsia="Calibri" w:hAnsi="Arial" w:cs="Arial"/>
          <w:b/>
          <w:sz w:val="24"/>
          <w:szCs w:val="24"/>
        </w:rPr>
        <w:t>14. Información por Segmentos:</w:t>
      </w:r>
    </w:p>
    <w:p w14:paraId="785C5FA3" w14:textId="77777777" w:rsidR="0026602F" w:rsidRDefault="0026602F" w:rsidP="00150443">
      <w:pPr>
        <w:spacing w:after="0" w:line="360" w:lineRule="auto"/>
        <w:ind w:left="-340"/>
        <w:jc w:val="both"/>
        <w:rPr>
          <w:rFonts w:ascii="Arial" w:eastAsia="Calibri" w:hAnsi="Arial" w:cs="Arial"/>
          <w:b/>
          <w:sz w:val="24"/>
          <w:szCs w:val="24"/>
        </w:rPr>
      </w:pPr>
    </w:p>
    <w:p w14:paraId="6285C8AE" w14:textId="77777777" w:rsidR="00B5173F" w:rsidRPr="00A82EE9" w:rsidRDefault="00B5173F" w:rsidP="00150443">
      <w:pPr>
        <w:spacing w:after="0" w:line="360" w:lineRule="auto"/>
        <w:ind w:left="-340"/>
        <w:jc w:val="both"/>
        <w:rPr>
          <w:rFonts w:ascii="Arial" w:eastAsia="Calibri" w:hAnsi="Arial" w:cs="Arial"/>
          <w:sz w:val="24"/>
          <w:szCs w:val="24"/>
        </w:rPr>
      </w:pPr>
      <w:r w:rsidRPr="00A82EE9">
        <w:rPr>
          <w:rFonts w:ascii="Arial" w:eastAsia="Calibri" w:hAnsi="Arial" w:cs="Arial"/>
          <w:sz w:val="24"/>
          <w:szCs w:val="24"/>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41709C8B" w14:textId="77777777" w:rsidR="00B5173F" w:rsidRPr="00A82EE9" w:rsidRDefault="00B5173F" w:rsidP="00B5173F">
      <w:pPr>
        <w:spacing w:after="0" w:line="360" w:lineRule="auto"/>
        <w:jc w:val="both"/>
        <w:rPr>
          <w:rFonts w:ascii="Arial" w:eastAsia="Calibri" w:hAnsi="Arial" w:cs="Arial"/>
          <w:sz w:val="24"/>
          <w:szCs w:val="24"/>
        </w:rPr>
      </w:pPr>
    </w:p>
    <w:p w14:paraId="18325877" w14:textId="77777777" w:rsidR="00B5173F" w:rsidRPr="00A82EE9" w:rsidRDefault="00B5173F" w:rsidP="00150443">
      <w:pPr>
        <w:spacing w:after="0" w:line="360" w:lineRule="auto"/>
        <w:ind w:left="-397"/>
        <w:jc w:val="both"/>
        <w:rPr>
          <w:rFonts w:ascii="Arial" w:eastAsia="Calibri" w:hAnsi="Arial" w:cs="Arial"/>
          <w:sz w:val="24"/>
          <w:szCs w:val="24"/>
        </w:rPr>
      </w:pPr>
      <w:r w:rsidRPr="00A82EE9">
        <w:rPr>
          <w:rFonts w:ascii="Arial" w:eastAsia="Calibri" w:hAnsi="Arial" w:cs="Arial"/>
          <w:sz w:val="24"/>
          <w:szCs w:val="24"/>
        </w:rPr>
        <w:t>Consecuentemente, esta información contribuye al análisis más preciso de la situación financiera, grados y fuentes de riesgo y crecimiento potencial de negocio. No aplica.</w:t>
      </w:r>
    </w:p>
    <w:p w14:paraId="2DDCBFF5" w14:textId="104A6B18" w:rsidR="009C3A7D" w:rsidRDefault="009C3A7D" w:rsidP="00B5173F">
      <w:pPr>
        <w:spacing w:after="0" w:line="360" w:lineRule="auto"/>
        <w:jc w:val="both"/>
        <w:rPr>
          <w:rFonts w:ascii="Arial" w:eastAsia="Calibri" w:hAnsi="Arial" w:cs="Arial"/>
          <w:sz w:val="24"/>
          <w:szCs w:val="24"/>
        </w:rPr>
      </w:pPr>
    </w:p>
    <w:p w14:paraId="11FB4306" w14:textId="6F4705B5" w:rsidR="00150443" w:rsidRDefault="00150443" w:rsidP="00B5173F">
      <w:pPr>
        <w:spacing w:after="0" w:line="360" w:lineRule="auto"/>
        <w:jc w:val="both"/>
        <w:rPr>
          <w:rFonts w:ascii="Arial" w:eastAsia="Calibri" w:hAnsi="Arial" w:cs="Arial"/>
          <w:sz w:val="24"/>
          <w:szCs w:val="24"/>
        </w:rPr>
      </w:pPr>
    </w:p>
    <w:p w14:paraId="12B2EA5E" w14:textId="74D5C421" w:rsidR="00150443" w:rsidRDefault="00150443" w:rsidP="00B5173F">
      <w:pPr>
        <w:spacing w:after="0" w:line="360" w:lineRule="auto"/>
        <w:jc w:val="both"/>
        <w:rPr>
          <w:rFonts w:ascii="Arial" w:eastAsia="Calibri" w:hAnsi="Arial" w:cs="Arial"/>
          <w:sz w:val="24"/>
          <w:szCs w:val="24"/>
        </w:rPr>
      </w:pPr>
    </w:p>
    <w:p w14:paraId="47D217BB" w14:textId="61E53095" w:rsidR="00150443" w:rsidRDefault="00150443" w:rsidP="00B5173F">
      <w:pPr>
        <w:spacing w:after="0" w:line="360" w:lineRule="auto"/>
        <w:jc w:val="both"/>
        <w:rPr>
          <w:rFonts w:ascii="Arial" w:eastAsia="Calibri" w:hAnsi="Arial" w:cs="Arial"/>
          <w:sz w:val="24"/>
          <w:szCs w:val="24"/>
        </w:rPr>
      </w:pPr>
    </w:p>
    <w:p w14:paraId="3085A131" w14:textId="77777777" w:rsidR="00150443" w:rsidRDefault="00150443" w:rsidP="00B5173F">
      <w:pPr>
        <w:spacing w:after="0" w:line="360" w:lineRule="auto"/>
        <w:jc w:val="both"/>
        <w:rPr>
          <w:rFonts w:ascii="Arial" w:eastAsia="Calibri" w:hAnsi="Arial" w:cs="Arial"/>
          <w:sz w:val="24"/>
          <w:szCs w:val="24"/>
        </w:rPr>
      </w:pPr>
    </w:p>
    <w:p w14:paraId="502A5A36" w14:textId="7AFFF5B0" w:rsidR="00B5173F" w:rsidRDefault="00B5173F" w:rsidP="00150443">
      <w:pPr>
        <w:spacing w:after="0" w:line="360" w:lineRule="auto"/>
        <w:ind w:left="-340"/>
        <w:jc w:val="both"/>
        <w:rPr>
          <w:rFonts w:ascii="Arial" w:eastAsia="Calibri" w:hAnsi="Arial" w:cs="Arial"/>
          <w:b/>
          <w:sz w:val="24"/>
          <w:szCs w:val="24"/>
        </w:rPr>
      </w:pPr>
      <w:r w:rsidRPr="00A82EE9">
        <w:rPr>
          <w:rFonts w:ascii="Arial" w:eastAsia="Calibri" w:hAnsi="Arial" w:cs="Arial"/>
          <w:b/>
          <w:sz w:val="24"/>
          <w:szCs w:val="24"/>
        </w:rPr>
        <w:lastRenderedPageBreak/>
        <w:t>15. Eventos Posteriores al Cierre:</w:t>
      </w:r>
    </w:p>
    <w:p w14:paraId="48815873" w14:textId="77777777" w:rsidR="0026602F" w:rsidRDefault="0026602F" w:rsidP="00150443">
      <w:pPr>
        <w:spacing w:after="0" w:line="360" w:lineRule="auto"/>
        <w:ind w:left="-340"/>
        <w:jc w:val="both"/>
        <w:rPr>
          <w:rFonts w:ascii="Arial" w:eastAsia="Calibri" w:hAnsi="Arial" w:cs="Arial"/>
          <w:b/>
          <w:sz w:val="24"/>
          <w:szCs w:val="24"/>
        </w:rPr>
      </w:pPr>
    </w:p>
    <w:p w14:paraId="03D3A0B0" w14:textId="77777777" w:rsidR="00B5173F" w:rsidRPr="00A82EE9" w:rsidRDefault="00B5173F" w:rsidP="00150443">
      <w:pPr>
        <w:spacing w:after="0" w:line="360" w:lineRule="auto"/>
        <w:ind w:left="-340"/>
        <w:jc w:val="both"/>
        <w:rPr>
          <w:rFonts w:ascii="Arial" w:eastAsia="Calibri" w:hAnsi="Arial" w:cs="Arial"/>
          <w:sz w:val="24"/>
          <w:szCs w:val="24"/>
        </w:rPr>
      </w:pPr>
      <w:r w:rsidRPr="00A82EE9">
        <w:rPr>
          <w:rFonts w:ascii="Arial" w:eastAsia="Calibri" w:hAnsi="Arial" w:cs="Arial"/>
          <w:sz w:val="24"/>
          <w:szCs w:val="24"/>
        </w:rPr>
        <w:t>El ente público informará el efecto en sus estados financieros de aquellos hechos ocurridos en el período posterior al que informa, que proporcionan mayor evidencia sobre eventos que le afecten económicamente y que no se conocían a la fecha de cierre. No aplica.</w:t>
      </w:r>
    </w:p>
    <w:p w14:paraId="68C835F5" w14:textId="493623B4" w:rsidR="00B5173F" w:rsidRDefault="00B5173F" w:rsidP="00150443">
      <w:pPr>
        <w:spacing w:after="0" w:line="360" w:lineRule="auto"/>
        <w:ind w:left="-340"/>
        <w:jc w:val="both"/>
        <w:rPr>
          <w:rFonts w:ascii="Arial" w:eastAsia="Calibri" w:hAnsi="Arial" w:cs="Arial"/>
        </w:rPr>
      </w:pPr>
    </w:p>
    <w:p w14:paraId="63CAF6C8" w14:textId="252B02D4" w:rsidR="00B5173F" w:rsidRDefault="00B5173F" w:rsidP="00150443">
      <w:pPr>
        <w:spacing w:after="0" w:line="360" w:lineRule="auto"/>
        <w:ind w:left="-340"/>
        <w:jc w:val="both"/>
        <w:rPr>
          <w:rFonts w:ascii="Arial" w:eastAsia="Calibri" w:hAnsi="Arial" w:cs="Arial"/>
          <w:b/>
          <w:sz w:val="24"/>
          <w:szCs w:val="24"/>
        </w:rPr>
      </w:pPr>
      <w:r w:rsidRPr="00A82EE9">
        <w:rPr>
          <w:rFonts w:ascii="Arial" w:eastAsia="Calibri" w:hAnsi="Arial" w:cs="Arial"/>
          <w:b/>
          <w:sz w:val="24"/>
          <w:szCs w:val="24"/>
        </w:rPr>
        <w:t>16. Partes Relacionadas:</w:t>
      </w:r>
    </w:p>
    <w:p w14:paraId="7E184AB1" w14:textId="77777777" w:rsidR="0026602F" w:rsidRPr="00A82EE9" w:rsidRDefault="0026602F" w:rsidP="00150443">
      <w:pPr>
        <w:spacing w:after="0" w:line="360" w:lineRule="auto"/>
        <w:ind w:left="-340"/>
        <w:jc w:val="both"/>
        <w:rPr>
          <w:rFonts w:ascii="Arial" w:eastAsia="Calibri" w:hAnsi="Arial" w:cs="Arial"/>
          <w:b/>
          <w:sz w:val="24"/>
          <w:szCs w:val="24"/>
        </w:rPr>
      </w:pPr>
    </w:p>
    <w:p w14:paraId="7C6A3D61" w14:textId="77777777" w:rsidR="00B5173F" w:rsidRPr="00A82EE9" w:rsidRDefault="00B5173F" w:rsidP="00150443">
      <w:pPr>
        <w:spacing w:after="0" w:line="360" w:lineRule="auto"/>
        <w:ind w:left="-340"/>
        <w:jc w:val="both"/>
        <w:rPr>
          <w:rFonts w:ascii="Arial" w:eastAsia="Calibri" w:hAnsi="Arial" w:cs="Arial"/>
          <w:sz w:val="24"/>
          <w:szCs w:val="24"/>
        </w:rPr>
      </w:pPr>
      <w:r w:rsidRPr="00A82EE9">
        <w:rPr>
          <w:rFonts w:ascii="Arial" w:eastAsia="Calibri" w:hAnsi="Arial" w:cs="Arial"/>
          <w:sz w:val="24"/>
          <w:szCs w:val="24"/>
        </w:rPr>
        <w:t>Se debe establecer por escrito que no existen partes relacionadas que pudieran ejercer influencia significativa sobre la toma de decisiones financieras y operativas: No aplica.</w:t>
      </w:r>
    </w:p>
    <w:p w14:paraId="31644554" w14:textId="77777777" w:rsidR="0026602F" w:rsidRDefault="0026602F" w:rsidP="00150443">
      <w:pPr>
        <w:spacing w:after="0" w:line="360" w:lineRule="auto"/>
        <w:ind w:left="-340"/>
        <w:jc w:val="both"/>
        <w:rPr>
          <w:rFonts w:ascii="Arial" w:eastAsia="Calibri" w:hAnsi="Arial" w:cs="Arial"/>
          <w:b/>
          <w:sz w:val="24"/>
          <w:szCs w:val="24"/>
        </w:rPr>
      </w:pPr>
    </w:p>
    <w:p w14:paraId="2C1288EF" w14:textId="04F653AD" w:rsidR="00B5173F" w:rsidRDefault="00B5173F" w:rsidP="00150443">
      <w:pPr>
        <w:spacing w:after="0" w:line="360" w:lineRule="auto"/>
        <w:ind w:left="-340"/>
        <w:jc w:val="both"/>
        <w:rPr>
          <w:rFonts w:ascii="Arial" w:eastAsia="Calibri" w:hAnsi="Arial" w:cs="Arial"/>
          <w:b/>
          <w:sz w:val="24"/>
          <w:szCs w:val="24"/>
        </w:rPr>
      </w:pPr>
      <w:r w:rsidRPr="00A82EE9">
        <w:rPr>
          <w:rFonts w:ascii="Arial" w:eastAsia="Calibri" w:hAnsi="Arial" w:cs="Arial"/>
          <w:b/>
          <w:sz w:val="24"/>
          <w:szCs w:val="24"/>
        </w:rPr>
        <w:t>17. Responsabilidad sobre la presentación razonable de los Estados Financieros:</w:t>
      </w:r>
    </w:p>
    <w:p w14:paraId="78F4D28F" w14:textId="77777777" w:rsidR="0026602F" w:rsidRPr="00A82EE9" w:rsidRDefault="0026602F" w:rsidP="00150443">
      <w:pPr>
        <w:spacing w:after="0" w:line="360" w:lineRule="auto"/>
        <w:ind w:left="-340"/>
        <w:jc w:val="both"/>
        <w:rPr>
          <w:rFonts w:ascii="Arial" w:eastAsia="Calibri" w:hAnsi="Arial" w:cs="Arial"/>
          <w:b/>
          <w:sz w:val="24"/>
          <w:szCs w:val="24"/>
        </w:rPr>
      </w:pPr>
    </w:p>
    <w:p w14:paraId="5E1C08B2" w14:textId="77777777" w:rsidR="00B5173F" w:rsidRPr="00A82EE9" w:rsidRDefault="00B5173F" w:rsidP="00150443">
      <w:pPr>
        <w:spacing w:after="0" w:line="360" w:lineRule="auto"/>
        <w:ind w:left="-340"/>
        <w:jc w:val="both"/>
        <w:rPr>
          <w:rFonts w:ascii="Arial" w:eastAsia="Calibri" w:hAnsi="Arial" w:cs="Arial"/>
          <w:sz w:val="24"/>
          <w:szCs w:val="24"/>
        </w:rPr>
      </w:pPr>
      <w:r w:rsidRPr="00A82EE9">
        <w:rPr>
          <w:rFonts w:ascii="Arial" w:eastAsia="Calibri" w:hAnsi="Arial" w:cs="Arial"/>
          <w:sz w:val="24"/>
          <w:szCs w:val="24"/>
        </w:rPr>
        <w:t xml:space="preserve">La Información Contable del Poder Ejecutivo del Estado de Guerrero, incluye al final de los Estados Financieros la siguiente leyenda: “Bajo protesta de decir verdad declaramos que los Estados Financieros y sus notas, son razonablemente correctos y son responsabilidad del emisor”. </w:t>
      </w:r>
    </w:p>
    <w:p w14:paraId="02DA1ACA" w14:textId="77777777" w:rsidR="0026602F" w:rsidRDefault="0026602F" w:rsidP="00B5173F">
      <w:pPr>
        <w:pBdr>
          <w:bottom w:val="single" w:sz="12" w:space="1" w:color="auto"/>
        </w:pBdr>
        <w:spacing w:after="0" w:line="360" w:lineRule="auto"/>
        <w:jc w:val="both"/>
        <w:rPr>
          <w:rFonts w:ascii="Arial" w:eastAsia="Calibri" w:hAnsi="Arial" w:cs="Arial"/>
        </w:rPr>
      </w:pPr>
    </w:p>
    <w:p w14:paraId="0035EC31" w14:textId="5C04C63F" w:rsidR="0026602F" w:rsidRDefault="00E9510C" w:rsidP="00B5173F">
      <w:pPr>
        <w:pBdr>
          <w:bottom w:val="single" w:sz="12" w:space="1" w:color="auto"/>
        </w:pBdr>
        <w:spacing w:after="0" w:line="360" w:lineRule="auto"/>
        <w:jc w:val="both"/>
        <w:rPr>
          <w:rFonts w:ascii="Arial" w:eastAsia="Calibri" w:hAnsi="Arial" w:cs="Arial"/>
        </w:rPr>
      </w:pPr>
      <w:r w:rsidRPr="00A82EE9">
        <w:rPr>
          <w:rFonts w:ascii="Calibri" w:eastAsia="Calibri" w:hAnsi="Calibri" w:cs="Times New Roman"/>
          <w:noProof/>
          <w:lang w:eastAsia="es-MX"/>
        </w:rPr>
        <mc:AlternateContent>
          <mc:Choice Requires="wps">
            <w:drawing>
              <wp:anchor distT="0" distB="0" distL="114300" distR="114300" simplePos="0" relativeHeight="251742208" behindDoc="0" locked="0" layoutInCell="1" allowOverlap="1" wp14:anchorId="730CDB14" wp14:editId="7AA0DD6F">
                <wp:simplePos x="0" y="0"/>
                <wp:positionH relativeFrom="margin">
                  <wp:align>left</wp:align>
                </wp:positionH>
                <wp:positionV relativeFrom="paragraph">
                  <wp:posOffset>5715</wp:posOffset>
                </wp:positionV>
                <wp:extent cx="2592705" cy="1238250"/>
                <wp:effectExtent l="0" t="0" r="0" b="0"/>
                <wp:wrapNone/>
                <wp:docPr id="19" name="Cuadro de texto 1"/>
                <wp:cNvGraphicFramePr/>
                <a:graphic xmlns:a="http://schemas.openxmlformats.org/drawingml/2006/main">
                  <a:graphicData uri="http://schemas.microsoft.com/office/word/2010/wordprocessingShape">
                    <wps:wsp>
                      <wps:cNvSpPr txBox="1"/>
                      <wps:spPr>
                        <a:xfrm>
                          <a:off x="0" y="0"/>
                          <a:ext cx="2592705" cy="1238250"/>
                        </a:xfrm>
                        <a:prstGeom prst="rect">
                          <a:avLst/>
                        </a:prstGeom>
                        <a:solidFill>
                          <a:sysClr val="window" lastClr="FFFFFF"/>
                        </a:solidFill>
                        <a:ln w="6350">
                          <a:noFill/>
                        </a:ln>
                      </wps:spPr>
                      <wps:txbx>
                        <w:txbxContent>
                          <w:p w14:paraId="21F15D85" w14:textId="77777777" w:rsidR="00CA794F" w:rsidRDefault="00CA794F" w:rsidP="00C84CB2">
                            <w:pPr>
                              <w:pStyle w:val="NormalWeb"/>
                              <w:spacing w:after="0"/>
                              <w:jc w:val="center"/>
                            </w:pPr>
                            <w:r>
                              <w:rPr>
                                <w:rFonts w:ascii="Calibri" w:hAnsi="Calibri"/>
                                <w:lang w:val="es-ES"/>
                              </w:rPr>
                              <w:t> </w:t>
                            </w:r>
                          </w:p>
                          <w:p w14:paraId="439D7116" w14:textId="77777777" w:rsidR="00CA794F" w:rsidRDefault="00CA794F" w:rsidP="00C84CB2">
                            <w:pPr>
                              <w:pStyle w:val="NormalWeb"/>
                              <w:spacing w:after="0"/>
                              <w:jc w:val="center"/>
                            </w:pPr>
                            <w:r>
                              <w:rPr>
                                <w:rFonts w:ascii="Calibri" w:hAnsi="Calibri"/>
                                <w:lang w:val="es-ES"/>
                              </w:rPr>
                              <w:t> </w:t>
                            </w:r>
                          </w:p>
                          <w:p w14:paraId="0A08348F" w14:textId="77777777" w:rsidR="00CA794F" w:rsidRDefault="00CA794F" w:rsidP="00C84CB2">
                            <w:pPr>
                              <w:pStyle w:val="NormalWeb"/>
                              <w:spacing w:after="0"/>
                              <w:jc w:val="center"/>
                            </w:pPr>
                            <w:r>
                              <w:rPr>
                                <w:rFonts w:ascii="Calibri" w:hAnsi="Calibri"/>
                                <w:lang w:val="es-ES"/>
                              </w:rPr>
                              <w:t>______________________________ </w:t>
                            </w:r>
                          </w:p>
                          <w:p w14:paraId="77D50413" w14:textId="2F1CF13C" w:rsidR="00CA794F" w:rsidRPr="0001750C" w:rsidRDefault="00CA794F" w:rsidP="00C84CB2">
                            <w:pPr>
                              <w:pStyle w:val="NormalWeb"/>
                              <w:spacing w:after="0"/>
                              <w:jc w:val="center"/>
                              <w:rPr>
                                <w:sz w:val="22"/>
                                <w:szCs w:val="22"/>
                              </w:rPr>
                            </w:pPr>
                            <w:r w:rsidRPr="0001750C">
                              <w:rPr>
                                <w:rFonts w:ascii="Calibri" w:hAnsi="Calibri"/>
                                <w:sz w:val="22"/>
                                <w:szCs w:val="22"/>
                                <w:lang w:val="es-ES"/>
                              </w:rPr>
                              <w:t>LIC. PEDRO TORRES GONZ</w:t>
                            </w:r>
                            <w:r w:rsidR="00202ACC">
                              <w:rPr>
                                <w:rFonts w:ascii="Calibri" w:hAnsi="Calibri"/>
                                <w:sz w:val="22"/>
                                <w:szCs w:val="22"/>
                                <w:lang w:val="es-ES"/>
                              </w:rPr>
                              <w:t>Á</w:t>
                            </w:r>
                            <w:r w:rsidRPr="0001750C">
                              <w:rPr>
                                <w:rFonts w:ascii="Calibri" w:hAnsi="Calibri"/>
                                <w:sz w:val="22"/>
                                <w:szCs w:val="22"/>
                                <w:lang w:val="es-ES"/>
                              </w:rPr>
                              <w:t>LEZ</w:t>
                            </w:r>
                          </w:p>
                          <w:p w14:paraId="420A3A99" w14:textId="77777777" w:rsidR="00CA794F" w:rsidRPr="0001750C" w:rsidRDefault="00CA794F" w:rsidP="00C84CB2">
                            <w:pPr>
                              <w:pStyle w:val="NormalWeb"/>
                              <w:spacing w:after="0"/>
                              <w:jc w:val="center"/>
                              <w:rPr>
                                <w:sz w:val="22"/>
                                <w:szCs w:val="22"/>
                              </w:rPr>
                            </w:pPr>
                            <w:r w:rsidRPr="0001750C">
                              <w:rPr>
                                <w:rFonts w:ascii="Calibri" w:hAnsi="Calibri"/>
                                <w:sz w:val="22"/>
                                <w:szCs w:val="22"/>
                                <w:lang w:val="es-ES"/>
                              </w:rPr>
                              <w:t>SUBSECRETARIO DE EGRESOS</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30CDB14" id="_x0000_t202" coordsize="21600,21600" o:spt="202" path="m,l,21600r21600,l21600,xe">
                <v:stroke joinstyle="miter"/>
                <v:path gradientshapeok="t" o:connecttype="rect"/>
              </v:shapetype>
              <v:shape id="Cuadro de texto 1" o:spid="_x0000_s1034" type="#_x0000_t202" style="position:absolute;left:0;text-align:left;margin-left:0;margin-top:.45pt;width:204.15pt;height:97.5pt;z-index:25174220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" fillcolor="window" stroked="f" strokeweight=".5pt">
                <v:textbox>
                  <w:txbxContent>
                    <w:p w14:paraId="21F15D85" w14:textId="77777777" w:rsidR="00CA794F" w:rsidRDefault="00CA794F" w:rsidP="00C84CB2">
                      <w:pPr>
                        <w:pStyle w:val="NormalWeb"/>
                        <w:spacing w:after="0"/>
                        <w:jc w:val="center"/>
                      </w:pPr>
                      <w:r>
                        <w:rPr>
                          <w:rFonts w:ascii="Calibri" w:hAnsi="Calibri"/>
                          <w:lang w:val="es-ES"/>
                        </w:rPr>
                        <w:t> </w:t>
                      </w:r>
                    </w:p>
                    <w:p w14:paraId="439D7116" w14:textId="77777777" w:rsidR="00CA794F" w:rsidRDefault="00CA794F" w:rsidP="00C84CB2">
                      <w:pPr>
                        <w:pStyle w:val="NormalWeb"/>
                        <w:spacing w:after="0"/>
                        <w:jc w:val="center"/>
                      </w:pPr>
                      <w:r>
                        <w:rPr>
                          <w:rFonts w:ascii="Calibri" w:hAnsi="Calibri"/>
                          <w:lang w:val="es-ES"/>
                        </w:rPr>
                        <w:t> </w:t>
                      </w:r>
                    </w:p>
                    <w:p w14:paraId="0A08348F" w14:textId="77777777" w:rsidR="00CA794F" w:rsidRDefault="00CA794F" w:rsidP="00C84CB2">
                      <w:pPr>
                        <w:pStyle w:val="NormalWeb"/>
                        <w:spacing w:after="0"/>
                        <w:jc w:val="center"/>
                      </w:pPr>
                      <w:r>
                        <w:rPr>
                          <w:rFonts w:ascii="Calibri" w:hAnsi="Calibri"/>
                          <w:lang w:val="es-ES"/>
                        </w:rPr>
                        <w:t>______________________________ </w:t>
                      </w:r>
                    </w:p>
                    <w:p w14:paraId="77D50413" w14:textId="2F1CF13C" w:rsidR="00CA794F" w:rsidRPr="0001750C" w:rsidRDefault="00CA794F" w:rsidP="00C84CB2">
                      <w:pPr>
                        <w:pStyle w:val="NormalWeb"/>
                        <w:spacing w:after="0"/>
                        <w:jc w:val="center"/>
                        <w:rPr>
                          <w:sz w:val="22"/>
                          <w:szCs w:val="22"/>
                        </w:rPr>
                      </w:pPr>
                      <w:r w:rsidRPr="0001750C">
                        <w:rPr>
                          <w:rFonts w:ascii="Calibri" w:hAnsi="Calibri"/>
                          <w:sz w:val="22"/>
                          <w:szCs w:val="22"/>
                          <w:lang w:val="es-ES"/>
                        </w:rPr>
                        <w:t>LIC. PEDRO TORRES GONZ</w:t>
                      </w:r>
                      <w:r w:rsidR="00202ACC">
                        <w:rPr>
                          <w:rFonts w:ascii="Calibri" w:hAnsi="Calibri"/>
                          <w:sz w:val="22"/>
                          <w:szCs w:val="22"/>
                          <w:lang w:val="es-ES"/>
                        </w:rPr>
                        <w:t>Á</w:t>
                      </w:r>
                      <w:r w:rsidRPr="0001750C">
                        <w:rPr>
                          <w:rFonts w:ascii="Calibri" w:hAnsi="Calibri"/>
                          <w:sz w:val="22"/>
                          <w:szCs w:val="22"/>
                          <w:lang w:val="es-ES"/>
                        </w:rPr>
                        <w:t>LEZ</w:t>
                      </w:r>
                    </w:p>
                    <w:p w14:paraId="420A3A99" w14:textId="77777777" w:rsidR="00CA794F" w:rsidRPr="0001750C" w:rsidRDefault="00CA794F" w:rsidP="00C84CB2">
                      <w:pPr>
                        <w:pStyle w:val="NormalWeb"/>
                        <w:spacing w:after="0"/>
                        <w:jc w:val="center"/>
                        <w:rPr>
                          <w:sz w:val="22"/>
                          <w:szCs w:val="22"/>
                        </w:rPr>
                      </w:pPr>
                      <w:r w:rsidRPr="0001750C">
                        <w:rPr>
                          <w:rFonts w:ascii="Calibri" w:hAnsi="Calibri"/>
                          <w:sz w:val="22"/>
                          <w:szCs w:val="22"/>
                          <w:lang w:val="es-ES"/>
                        </w:rPr>
                        <w:t>SUBSECRETARIO DE EGRESOS</w:t>
                      </w:r>
                    </w:p>
                  </w:txbxContent>
                </v:textbox>
                <w10:wrap anchorx="margin"/>
              </v:shape>
            </w:pict>
          </mc:Fallback>
        </mc:AlternateContent>
      </w:r>
      <w:r w:rsidRPr="00A82EE9">
        <w:rPr>
          <w:rFonts w:ascii="Calibri" w:eastAsia="Calibri" w:hAnsi="Calibri" w:cs="Times New Roman"/>
          <w:noProof/>
          <w:lang w:eastAsia="es-MX"/>
        </w:rPr>
        <mc:AlternateContent>
          <mc:Choice Requires="wps">
            <w:drawing>
              <wp:anchor distT="0" distB="0" distL="114300" distR="114300" simplePos="0" relativeHeight="251744256" behindDoc="0" locked="0" layoutInCell="1" allowOverlap="1" wp14:anchorId="461AE119" wp14:editId="31632CEF">
                <wp:simplePos x="0" y="0"/>
                <wp:positionH relativeFrom="margin">
                  <wp:posOffset>3019425</wp:posOffset>
                </wp:positionH>
                <wp:positionV relativeFrom="paragraph">
                  <wp:posOffset>176530</wp:posOffset>
                </wp:positionV>
                <wp:extent cx="2592705" cy="1400175"/>
                <wp:effectExtent l="0" t="0" r="0" b="9525"/>
                <wp:wrapNone/>
                <wp:docPr id="25" name="Cuadro de texto 2"/>
                <wp:cNvGraphicFramePr/>
                <a:graphic xmlns:a="http://schemas.openxmlformats.org/drawingml/2006/main">
                  <a:graphicData uri="http://schemas.microsoft.com/office/word/2010/wordprocessingShape">
                    <wps:wsp>
                      <wps:cNvSpPr txBox="1"/>
                      <wps:spPr>
                        <a:xfrm>
                          <a:off x="0" y="0"/>
                          <a:ext cx="2592705" cy="1400175"/>
                        </a:xfrm>
                        <a:prstGeom prst="rect">
                          <a:avLst/>
                        </a:prstGeom>
                        <a:solidFill>
                          <a:sysClr val="window" lastClr="FFFFFF"/>
                        </a:solidFill>
                        <a:ln w="6350">
                          <a:noFill/>
                        </a:ln>
                      </wps:spPr>
                      <wps:txbx>
                        <w:txbxContent>
                          <w:p w14:paraId="6C8BD21F" w14:textId="77777777" w:rsidR="00CA794F" w:rsidRDefault="00CA794F" w:rsidP="000D2503">
                            <w:pPr>
                              <w:pStyle w:val="NormalWeb"/>
                              <w:spacing w:after="0"/>
                              <w:jc w:val="center"/>
                            </w:pPr>
                            <w:r>
                              <w:rPr>
                                <w:rFonts w:ascii="Calibri" w:hAnsi="Calibri"/>
                                <w:lang w:val="es-ES"/>
                              </w:rPr>
                              <w:t> </w:t>
                            </w:r>
                          </w:p>
                          <w:p w14:paraId="4B08D3D1" w14:textId="77777777" w:rsidR="00CA794F" w:rsidRDefault="00CA794F" w:rsidP="000D2503">
                            <w:pPr>
                              <w:pStyle w:val="NormalWeb"/>
                              <w:spacing w:after="0"/>
                              <w:jc w:val="center"/>
                            </w:pPr>
                            <w:r>
                              <w:rPr>
                                <w:rFonts w:ascii="Calibri" w:hAnsi="Calibri"/>
                                <w:lang w:val="es-ES"/>
                              </w:rPr>
                              <w:t>_______________________________ </w:t>
                            </w:r>
                          </w:p>
                          <w:p w14:paraId="2CB2C9C6" w14:textId="77777777" w:rsidR="00CA794F" w:rsidRPr="0001750C" w:rsidRDefault="00CA794F" w:rsidP="000D2503">
                            <w:pPr>
                              <w:pStyle w:val="NormalWeb"/>
                              <w:spacing w:after="0"/>
                              <w:jc w:val="center"/>
                              <w:rPr>
                                <w:sz w:val="22"/>
                                <w:szCs w:val="22"/>
                              </w:rPr>
                            </w:pPr>
                            <w:r w:rsidRPr="0001750C">
                              <w:rPr>
                                <w:rFonts w:ascii="Calibri" w:hAnsi="Calibri"/>
                                <w:sz w:val="22"/>
                                <w:szCs w:val="22"/>
                                <w:lang w:val="es-ES"/>
                              </w:rPr>
                              <w:t>C.P.C. RAYMUNDO SEGURA ESTRADA</w:t>
                            </w:r>
                          </w:p>
                          <w:p w14:paraId="61F38A64" w14:textId="77777777" w:rsidR="00CA794F" w:rsidRPr="0001750C" w:rsidRDefault="00CA794F" w:rsidP="000D2503">
                            <w:pPr>
                              <w:pStyle w:val="NormalWeb"/>
                              <w:spacing w:after="0"/>
                              <w:jc w:val="center"/>
                              <w:rPr>
                                <w:sz w:val="22"/>
                                <w:szCs w:val="22"/>
                              </w:rPr>
                            </w:pPr>
                            <w:r w:rsidRPr="0001750C">
                              <w:rPr>
                                <w:rFonts w:ascii="Calibri" w:hAnsi="Calibri"/>
                                <w:sz w:val="22"/>
                                <w:szCs w:val="22"/>
                                <w:lang w:val="es-ES"/>
                              </w:rPr>
                              <w:t>SECRETARIO DE FINANZAS Y ADMINISTRACIÓN</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1AE119" id="Cuadro de texto 2" o:spid="_x0000_s1035" type="#_x0000_t202" style="position:absolute;left:0;text-align:left;margin-left:237.75pt;margin-top:13.9pt;width:204.15pt;height:110.25pt;z-index:25174425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" fillcolor="window" stroked="f" strokeweight=".5pt">
                <v:textbox>
                  <w:txbxContent>
                    <w:p w14:paraId="6C8BD21F" w14:textId="77777777" w:rsidR="00CA794F" w:rsidRDefault="00CA794F" w:rsidP="000D2503">
                      <w:pPr>
                        <w:pStyle w:val="NormalWeb"/>
                        <w:spacing w:after="0"/>
                        <w:jc w:val="center"/>
                      </w:pPr>
                      <w:r>
                        <w:rPr>
                          <w:rFonts w:ascii="Calibri" w:hAnsi="Calibri"/>
                          <w:lang w:val="es-ES"/>
                        </w:rPr>
                        <w:t> </w:t>
                      </w:r>
                    </w:p>
                    <w:p w14:paraId="4B08D3D1" w14:textId="77777777" w:rsidR="00CA794F" w:rsidRDefault="00CA794F" w:rsidP="000D2503">
                      <w:pPr>
                        <w:pStyle w:val="NormalWeb"/>
                        <w:spacing w:after="0"/>
                        <w:jc w:val="center"/>
                      </w:pPr>
                      <w:r>
                        <w:rPr>
                          <w:rFonts w:ascii="Calibri" w:hAnsi="Calibri"/>
                          <w:lang w:val="es-ES"/>
                        </w:rPr>
                        <w:t>_______________________________ </w:t>
                      </w:r>
                    </w:p>
                    <w:p w14:paraId="2CB2C9C6" w14:textId="77777777" w:rsidR="00CA794F" w:rsidRPr="0001750C" w:rsidRDefault="00CA794F" w:rsidP="000D2503">
                      <w:pPr>
                        <w:pStyle w:val="NormalWeb"/>
                        <w:spacing w:after="0"/>
                        <w:jc w:val="center"/>
                        <w:rPr>
                          <w:sz w:val="22"/>
                          <w:szCs w:val="22"/>
                        </w:rPr>
                      </w:pPr>
                      <w:r w:rsidRPr="0001750C">
                        <w:rPr>
                          <w:rFonts w:ascii="Calibri" w:hAnsi="Calibri"/>
                          <w:sz w:val="22"/>
                          <w:szCs w:val="22"/>
                          <w:lang w:val="es-ES"/>
                        </w:rPr>
                        <w:t>C.P.C. RAYMUNDO SEGURA ESTRADA</w:t>
                      </w:r>
                    </w:p>
                    <w:p w14:paraId="61F38A64" w14:textId="77777777" w:rsidR="00CA794F" w:rsidRPr="0001750C" w:rsidRDefault="00CA794F" w:rsidP="000D2503">
                      <w:pPr>
                        <w:pStyle w:val="NormalWeb"/>
                        <w:spacing w:after="0"/>
                        <w:jc w:val="center"/>
                        <w:rPr>
                          <w:sz w:val="22"/>
                          <w:szCs w:val="22"/>
                        </w:rPr>
                      </w:pPr>
                      <w:r w:rsidRPr="0001750C">
                        <w:rPr>
                          <w:rFonts w:ascii="Calibri" w:hAnsi="Calibri"/>
                          <w:sz w:val="22"/>
                          <w:szCs w:val="22"/>
                          <w:lang w:val="es-ES"/>
                        </w:rPr>
                        <w:t>SECRETARIO DE FINANZAS Y ADMINISTRACIÓN</w:t>
                      </w:r>
                    </w:p>
                  </w:txbxContent>
                </v:textbox>
                <w10:wrap anchorx="margin"/>
              </v:shape>
            </w:pict>
          </mc:Fallback>
        </mc:AlternateContent>
      </w:r>
    </w:p>
    <w:p w14:paraId="748686A1" w14:textId="50DD7CAC" w:rsidR="00B5173F" w:rsidRPr="00A82EE9" w:rsidRDefault="00B5173F" w:rsidP="00B5173F">
      <w:pPr>
        <w:pBdr>
          <w:bottom w:val="single" w:sz="12" w:space="1" w:color="auto"/>
        </w:pBdr>
        <w:spacing w:after="0" w:line="360" w:lineRule="auto"/>
        <w:jc w:val="both"/>
        <w:rPr>
          <w:rFonts w:ascii="Arial" w:eastAsia="Calibri" w:hAnsi="Arial" w:cs="Arial"/>
        </w:rPr>
      </w:pPr>
    </w:p>
    <w:p w14:paraId="3EC6BDF4" w14:textId="208EF3FA" w:rsidR="00B5173F" w:rsidRPr="00A82EE9" w:rsidRDefault="000D2503" w:rsidP="000D2503">
      <w:pPr>
        <w:pBdr>
          <w:bottom w:val="single" w:sz="12" w:space="1" w:color="auto"/>
        </w:pBdr>
        <w:tabs>
          <w:tab w:val="left" w:pos="6120"/>
        </w:tabs>
        <w:spacing w:after="0" w:line="360" w:lineRule="auto"/>
        <w:jc w:val="both"/>
        <w:rPr>
          <w:rFonts w:ascii="Arial" w:eastAsia="Calibri" w:hAnsi="Arial" w:cs="Arial"/>
        </w:rPr>
      </w:pPr>
      <w:r>
        <w:rPr>
          <w:rFonts w:ascii="Arial" w:eastAsia="Calibri" w:hAnsi="Arial" w:cs="Arial"/>
        </w:rPr>
        <w:tab/>
      </w:r>
    </w:p>
    <w:p w14:paraId="1321BB4B" w14:textId="77777777" w:rsidR="009F2C07" w:rsidRPr="00A82EE9" w:rsidRDefault="009F2C07" w:rsidP="00B5173F">
      <w:pPr>
        <w:pBdr>
          <w:bottom w:val="single" w:sz="12" w:space="1" w:color="auto"/>
        </w:pBdr>
        <w:spacing w:after="0" w:line="360" w:lineRule="auto"/>
        <w:jc w:val="both"/>
        <w:rPr>
          <w:rFonts w:ascii="Arial" w:eastAsia="Calibri" w:hAnsi="Arial" w:cs="Arial"/>
        </w:rPr>
      </w:pPr>
    </w:p>
    <w:p w14:paraId="38488E3A" w14:textId="77777777" w:rsidR="00B5173F" w:rsidRPr="00A82EE9" w:rsidRDefault="00B5173F" w:rsidP="00B5173F">
      <w:pPr>
        <w:pBdr>
          <w:bottom w:val="single" w:sz="12" w:space="1" w:color="auto"/>
        </w:pBdr>
        <w:spacing w:after="0" w:line="360" w:lineRule="auto"/>
        <w:jc w:val="both"/>
        <w:rPr>
          <w:rFonts w:ascii="Arial" w:eastAsia="Calibri" w:hAnsi="Arial" w:cs="Arial"/>
        </w:rPr>
      </w:pPr>
    </w:p>
    <w:p w14:paraId="52852674" w14:textId="77777777" w:rsidR="00B5173F" w:rsidRPr="00A82EE9" w:rsidRDefault="00B5173F" w:rsidP="00B5173F">
      <w:pPr>
        <w:pBdr>
          <w:bottom w:val="single" w:sz="12" w:space="1" w:color="auto"/>
        </w:pBdr>
        <w:spacing w:after="0" w:line="360" w:lineRule="auto"/>
        <w:jc w:val="both"/>
        <w:rPr>
          <w:rFonts w:ascii="Arial" w:eastAsia="Calibri" w:hAnsi="Arial" w:cs="Arial"/>
        </w:rPr>
      </w:pPr>
    </w:p>
    <w:p w14:paraId="592112BF" w14:textId="173E9462" w:rsidR="00B5173F" w:rsidRDefault="0062215D" w:rsidP="00B5173F">
      <w:pPr>
        <w:pBdr>
          <w:bottom w:val="single" w:sz="12" w:space="1" w:color="auto"/>
        </w:pBdr>
        <w:tabs>
          <w:tab w:val="left" w:pos="6315"/>
        </w:tabs>
        <w:spacing w:after="0" w:line="360" w:lineRule="auto"/>
        <w:jc w:val="both"/>
        <w:rPr>
          <w:rFonts w:ascii="Arial" w:eastAsia="Calibri" w:hAnsi="Arial" w:cs="Arial"/>
        </w:rPr>
      </w:pPr>
      <w:r w:rsidRPr="00A82EE9">
        <w:rPr>
          <w:rFonts w:ascii="Calibri" w:eastAsia="Calibri" w:hAnsi="Calibri" w:cs="Times New Roman"/>
          <w:noProof/>
          <w:lang w:eastAsia="es-MX"/>
        </w:rPr>
        <mc:AlternateContent>
          <mc:Choice Requires="wps">
            <w:drawing>
              <wp:anchor distT="0" distB="0" distL="114300" distR="114300" simplePos="0" relativeHeight="251770880" behindDoc="0" locked="0" layoutInCell="1" allowOverlap="1" wp14:anchorId="51792384" wp14:editId="27BF8B4A">
                <wp:simplePos x="0" y="0"/>
                <wp:positionH relativeFrom="margin">
                  <wp:posOffset>1392555</wp:posOffset>
                </wp:positionH>
                <wp:positionV relativeFrom="paragraph">
                  <wp:posOffset>98812</wp:posOffset>
                </wp:positionV>
                <wp:extent cx="2592705" cy="1057523"/>
                <wp:effectExtent l="0" t="0" r="0" b="9525"/>
                <wp:wrapNone/>
                <wp:docPr id="30" name="Cuadro de texto 1"/>
                <wp:cNvGraphicFramePr/>
                <a:graphic xmlns:a="http://schemas.openxmlformats.org/drawingml/2006/main">
                  <a:graphicData uri="http://schemas.microsoft.com/office/word/2010/wordprocessingShape">
                    <wps:wsp>
                      <wps:cNvSpPr txBox="1"/>
                      <wps:spPr>
                        <a:xfrm>
                          <a:off x="0" y="0"/>
                          <a:ext cx="2592705" cy="1057523"/>
                        </a:xfrm>
                        <a:prstGeom prst="rect">
                          <a:avLst/>
                        </a:prstGeom>
                        <a:solidFill>
                          <a:sysClr val="window" lastClr="FFFFFF"/>
                        </a:solidFill>
                        <a:ln w="6350">
                          <a:noFill/>
                        </a:ln>
                      </wps:spPr>
                      <wps:txbx>
                        <w:txbxContent>
                          <w:p w14:paraId="42ABF2B2" w14:textId="77777777" w:rsidR="00CA794F" w:rsidRDefault="00CA794F" w:rsidP="00E9510C">
                            <w:pPr>
                              <w:pStyle w:val="NormalWeb"/>
                              <w:spacing w:after="0"/>
                              <w:jc w:val="center"/>
                            </w:pPr>
                            <w:r>
                              <w:rPr>
                                <w:rFonts w:ascii="Calibri" w:hAnsi="Calibri"/>
                                <w:lang w:val="es-ES"/>
                              </w:rPr>
                              <w:t> </w:t>
                            </w:r>
                          </w:p>
                          <w:p w14:paraId="598A779F" w14:textId="77777777" w:rsidR="00CA794F" w:rsidRDefault="00CA794F" w:rsidP="00E9510C">
                            <w:pPr>
                              <w:pStyle w:val="NormalWeb"/>
                              <w:spacing w:after="0"/>
                              <w:jc w:val="center"/>
                            </w:pPr>
                            <w:r>
                              <w:rPr>
                                <w:rFonts w:ascii="Calibri" w:hAnsi="Calibri"/>
                                <w:lang w:val="es-ES"/>
                              </w:rPr>
                              <w:t> </w:t>
                            </w:r>
                          </w:p>
                          <w:p w14:paraId="301BEA40" w14:textId="77777777" w:rsidR="00CA794F" w:rsidRDefault="00CA794F" w:rsidP="00E9510C">
                            <w:pPr>
                              <w:pStyle w:val="NormalWeb"/>
                              <w:spacing w:after="0"/>
                              <w:jc w:val="center"/>
                            </w:pPr>
                            <w:r>
                              <w:rPr>
                                <w:rFonts w:ascii="Calibri" w:hAnsi="Calibri"/>
                                <w:lang w:val="es-ES"/>
                              </w:rPr>
                              <w:t>______________________________ </w:t>
                            </w:r>
                          </w:p>
                          <w:p w14:paraId="39F66AC6" w14:textId="07129B73" w:rsidR="00CA794F" w:rsidRPr="0001750C" w:rsidRDefault="00CA794F" w:rsidP="00E9510C">
                            <w:pPr>
                              <w:pStyle w:val="NormalWeb"/>
                              <w:spacing w:after="0"/>
                              <w:jc w:val="center"/>
                              <w:rPr>
                                <w:sz w:val="22"/>
                                <w:szCs w:val="22"/>
                              </w:rPr>
                            </w:pPr>
                            <w:r>
                              <w:rPr>
                                <w:rFonts w:ascii="Calibri" w:hAnsi="Calibri"/>
                                <w:sz w:val="22"/>
                                <w:szCs w:val="22"/>
                                <w:lang w:val="es-ES"/>
                              </w:rPr>
                              <w:t>MTRO. RICARDO SALINAS MÉNDEZ</w:t>
                            </w:r>
                          </w:p>
                          <w:p w14:paraId="3D6AF962" w14:textId="5BFE9D12" w:rsidR="00CA794F" w:rsidRPr="0001750C" w:rsidRDefault="00CA794F" w:rsidP="00E9510C">
                            <w:pPr>
                              <w:pStyle w:val="NormalWeb"/>
                              <w:spacing w:after="0"/>
                              <w:jc w:val="center"/>
                              <w:rPr>
                                <w:sz w:val="22"/>
                                <w:szCs w:val="22"/>
                              </w:rPr>
                            </w:pPr>
                            <w:r>
                              <w:rPr>
                                <w:rFonts w:ascii="Calibri" w:hAnsi="Calibri"/>
                                <w:sz w:val="22"/>
                                <w:szCs w:val="22"/>
                                <w:lang w:val="es-ES"/>
                              </w:rPr>
                              <w:t>OFICIAL MAYOR</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92384" id="_x0000_s1036" type="#_x0000_t202" style="position:absolute;left:0;text-align:left;margin-left:109.65pt;margin-top:7.8pt;width:204.15pt;height:83.25pt;z-index:2517708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" fillcolor="window" stroked="f" strokeweight=".5pt">
                <v:textbox>
                  <w:txbxContent>
                    <w:p w14:paraId="42ABF2B2" w14:textId="77777777" w:rsidR="00CA794F" w:rsidRDefault="00CA794F" w:rsidP="00E9510C">
                      <w:pPr>
                        <w:pStyle w:val="NormalWeb"/>
                        <w:spacing w:after="0"/>
                        <w:jc w:val="center"/>
                      </w:pPr>
                      <w:r>
                        <w:rPr>
                          <w:rFonts w:ascii="Calibri" w:hAnsi="Calibri"/>
                          <w:lang w:val="es-ES"/>
                        </w:rPr>
                        <w:t> </w:t>
                      </w:r>
                    </w:p>
                    <w:p w14:paraId="598A779F" w14:textId="77777777" w:rsidR="00CA794F" w:rsidRDefault="00CA794F" w:rsidP="00E9510C">
                      <w:pPr>
                        <w:pStyle w:val="NormalWeb"/>
                        <w:spacing w:after="0"/>
                        <w:jc w:val="center"/>
                      </w:pPr>
                      <w:r>
                        <w:rPr>
                          <w:rFonts w:ascii="Calibri" w:hAnsi="Calibri"/>
                          <w:lang w:val="es-ES"/>
                        </w:rPr>
                        <w:t> </w:t>
                      </w:r>
                    </w:p>
                    <w:p w14:paraId="301BEA40" w14:textId="77777777" w:rsidR="00CA794F" w:rsidRDefault="00CA794F" w:rsidP="00E9510C">
                      <w:pPr>
                        <w:pStyle w:val="NormalWeb"/>
                        <w:spacing w:after="0"/>
                        <w:jc w:val="center"/>
                      </w:pPr>
                      <w:r>
                        <w:rPr>
                          <w:rFonts w:ascii="Calibri" w:hAnsi="Calibri"/>
                          <w:lang w:val="es-ES"/>
                        </w:rPr>
                        <w:t>______________________________ </w:t>
                      </w:r>
                    </w:p>
                    <w:p w14:paraId="39F66AC6" w14:textId="07129B73" w:rsidR="00CA794F" w:rsidRPr="0001750C" w:rsidRDefault="00CA794F" w:rsidP="00E9510C">
                      <w:pPr>
                        <w:pStyle w:val="NormalWeb"/>
                        <w:spacing w:after="0"/>
                        <w:jc w:val="center"/>
                        <w:rPr>
                          <w:sz w:val="22"/>
                          <w:szCs w:val="22"/>
                        </w:rPr>
                      </w:pPr>
                      <w:r>
                        <w:rPr>
                          <w:rFonts w:ascii="Calibri" w:hAnsi="Calibri"/>
                          <w:sz w:val="22"/>
                          <w:szCs w:val="22"/>
                          <w:lang w:val="es-ES"/>
                        </w:rPr>
                        <w:t>MTRO. RICARDO SALINAS MÉNDEZ</w:t>
                      </w:r>
                    </w:p>
                    <w:p w14:paraId="3D6AF962" w14:textId="5BFE9D12" w:rsidR="00CA794F" w:rsidRPr="0001750C" w:rsidRDefault="00CA794F" w:rsidP="00E9510C">
                      <w:pPr>
                        <w:pStyle w:val="NormalWeb"/>
                        <w:spacing w:after="0"/>
                        <w:jc w:val="center"/>
                        <w:rPr>
                          <w:sz w:val="22"/>
                          <w:szCs w:val="22"/>
                        </w:rPr>
                      </w:pPr>
                      <w:r>
                        <w:rPr>
                          <w:rFonts w:ascii="Calibri" w:hAnsi="Calibri"/>
                          <w:sz w:val="22"/>
                          <w:szCs w:val="22"/>
                          <w:lang w:val="es-ES"/>
                        </w:rPr>
                        <w:t>OFICIAL MAYOR</w:t>
                      </w:r>
                    </w:p>
                  </w:txbxContent>
                </v:textbox>
                <w10:wrap anchorx="margin"/>
              </v:shape>
            </w:pict>
          </mc:Fallback>
        </mc:AlternateContent>
      </w:r>
      <w:r w:rsidR="00B5173F" w:rsidRPr="00A82EE9">
        <w:rPr>
          <w:rFonts w:ascii="Arial" w:eastAsia="Calibri" w:hAnsi="Arial" w:cs="Arial"/>
        </w:rPr>
        <w:tab/>
      </w:r>
    </w:p>
    <w:p w14:paraId="64D904B9" w14:textId="32AFA44B" w:rsidR="00B5173F" w:rsidRPr="00A82EE9" w:rsidRDefault="00B5173F" w:rsidP="00B5173F">
      <w:pPr>
        <w:pBdr>
          <w:bottom w:val="single" w:sz="12" w:space="1" w:color="auto"/>
        </w:pBdr>
        <w:spacing w:after="0" w:line="360" w:lineRule="auto"/>
        <w:jc w:val="both"/>
        <w:rPr>
          <w:rFonts w:ascii="Arial" w:eastAsia="Calibri" w:hAnsi="Arial" w:cs="Arial"/>
        </w:rPr>
      </w:pPr>
    </w:p>
    <w:p w14:paraId="74971727" w14:textId="562E0056" w:rsidR="00B5173F" w:rsidRDefault="00B5173F" w:rsidP="00B5173F">
      <w:pPr>
        <w:pBdr>
          <w:bottom w:val="single" w:sz="12" w:space="1" w:color="auto"/>
        </w:pBdr>
        <w:spacing w:after="0" w:line="360" w:lineRule="auto"/>
        <w:jc w:val="both"/>
        <w:rPr>
          <w:rFonts w:ascii="Arial" w:eastAsia="Calibri" w:hAnsi="Arial" w:cs="Arial"/>
        </w:rPr>
      </w:pPr>
    </w:p>
    <w:p w14:paraId="63602D39" w14:textId="46824E12" w:rsidR="00B5173F" w:rsidRDefault="00B5173F" w:rsidP="00B5173F">
      <w:pPr>
        <w:pBdr>
          <w:bottom w:val="single" w:sz="12" w:space="1" w:color="auto"/>
        </w:pBdr>
        <w:spacing w:after="0" w:line="360" w:lineRule="auto"/>
        <w:jc w:val="both"/>
        <w:rPr>
          <w:rFonts w:ascii="Arial" w:eastAsia="Calibri" w:hAnsi="Arial" w:cs="Arial"/>
        </w:rPr>
      </w:pPr>
    </w:p>
    <w:p w14:paraId="10D97A70" w14:textId="77777777" w:rsidR="000D2503" w:rsidRDefault="000D2503" w:rsidP="00B5173F">
      <w:pPr>
        <w:pBdr>
          <w:bottom w:val="single" w:sz="12" w:space="1" w:color="auto"/>
        </w:pBdr>
        <w:spacing w:after="0" w:line="360" w:lineRule="auto"/>
        <w:jc w:val="both"/>
        <w:rPr>
          <w:rFonts w:ascii="Arial" w:eastAsia="Calibri" w:hAnsi="Arial" w:cs="Arial"/>
        </w:rPr>
      </w:pPr>
    </w:p>
    <w:p w14:paraId="7A6415F4" w14:textId="60F502FB" w:rsidR="000D2503" w:rsidRDefault="000D2503" w:rsidP="00B5173F">
      <w:pPr>
        <w:pBdr>
          <w:bottom w:val="single" w:sz="12" w:space="1" w:color="auto"/>
        </w:pBdr>
        <w:spacing w:after="0" w:line="360" w:lineRule="auto"/>
        <w:jc w:val="both"/>
        <w:rPr>
          <w:rFonts w:ascii="Arial" w:eastAsia="Calibri" w:hAnsi="Arial" w:cs="Arial"/>
        </w:rPr>
      </w:pPr>
    </w:p>
    <w:p w14:paraId="08DAB421" w14:textId="7A4F6321" w:rsidR="00B5173F" w:rsidRPr="0062215D" w:rsidRDefault="00B5173F" w:rsidP="0062215D">
      <w:pPr>
        <w:pBdr>
          <w:bottom w:val="single" w:sz="12" w:space="1" w:color="auto"/>
        </w:pBdr>
        <w:spacing w:after="0" w:line="360" w:lineRule="auto"/>
        <w:jc w:val="both"/>
        <w:rPr>
          <w:rFonts w:ascii="Arial" w:eastAsia="Times New Roman" w:hAnsi="Arial" w:cs="Times New Roman"/>
          <w:sz w:val="26"/>
          <w:szCs w:val="20"/>
          <w:lang w:eastAsia="es-ES"/>
        </w:rPr>
      </w:pPr>
      <w:r w:rsidRPr="00A82EE9">
        <w:rPr>
          <w:rFonts w:ascii="Arial" w:eastAsia="Calibri" w:hAnsi="Arial" w:cs="Arial"/>
          <w:noProof/>
          <w:lang w:eastAsia="es-MX"/>
        </w:rPr>
        <mc:AlternateContent>
          <mc:Choice Requires="wps">
            <w:drawing>
              <wp:anchor distT="0" distB="0" distL="114300" distR="114300" simplePos="0" relativeHeight="251678720" behindDoc="0" locked="0" layoutInCell="1" allowOverlap="1" wp14:anchorId="5DB0CC33" wp14:editId="7A241B47">
                <wp:simplePos x="0" y="0"/>
                <wp:positionH relativeFrom="margin">
                  <wp:align>left</wp:align>
                </wp:positionH>
                <wp:positionV relativeFrom="paragraph">
                  <wp:posOffset>342044</wp:posOffset>
                </wp:positionV>
                <wp:extent cx="5965856" cy="333375"/>
                <wp:effectExtent l="0" t="0" r="0" b="9525"/>
                <wp:wrapNone/>
                <wp:docPr id="28" name="Cuadro de texto 28"/>
                <wp:cNvGraphicFramePr/>
                <a:graphic xmlns:a="http://schemas.openxmlformats.org/drawingml/2006/main">
                  <a:graphicData uri="http://schemas.microsoft.com/office/word/2010/wordprocessingShape">
                    <wps:wsp>
                      <wps:cNvSpPr txBox="1"/>
                      <wps:spPr>
                        <a:xfrm>
                          <a:off x="0" y="0"/>
                          <a:ext cx="5965856" cy="333375"/>
                        </a:xfrm>
                        <a:prstGeom prst="rect">
                          <a:avLst/>
                        </a:prstGeom>
                        <a:solidFill>
                          <a:sysClr val="window" lastClr="FFFFFF"/>
                        </a:solidFill>
                        <a:ln w="6350">
                          <a:noFill/>
                        </a:ln>
                      </wps:spPr>
                      <wps:txbx>
                        <w:txbxContent>
                          <w:p w14:paraId="493D18AD" w14:textId="77777777" w:rsidR="00CA794F" w:rsidRPr="0001750C" w:rsidRDefault="00CA794F" w:rsidP="00B5173F">
                            <w:pPr>
                              <w:rPr>
                                <w:sz w:val="16"/>
                                <w:szCs w:val="16"/>
                              </w:rPr>
                            </w:pPr>
                            <w:r w:rsidRPr="0001750C">
                              <w:rPr>
                                <w:rFonts w:ascii="Arial" w:hAnsi="Arial" w:cs="Arial"/>
                                <w:sz w:val="16"/>
                                <w:szCs w:val="16"/>
                              </w:rPr>
                              <w:t>“Bajo protesta de decir verdad declaramos que los Estados Financieros y sus notas, son razonablemente correctos y son responsabilidad del emisor”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B0CC33" id="Cuadro de texto 28" o:spid="_x0000_s1037" type="#_x0000_t202" style="position:absolute;left:0;text-align:left;margin-left:0;margin-top:26.95pt;width:469.75pt;height:26.25pt;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" fillcolor="window" stroked="f" strokeweight=".5pt">
                <v:textbox>
                  <w:txbxContent>
                    <w:p w14:paraId="493D18AD" w14:textId="77777777" w:rsidR="00CA794F" w:rsidRPr="0001750C" w:rsidRDefault="00CA794F" w:rsidP="00B5173F">
                      <w:pPr>
                        <w:rPr>
                          <w:sz w:val="16"/>
                          <w:szCs w:val="16"/>
                        </w:rPr>
                      </w:pPr>
                      <w:r w:rsidRPr="0001750C">
                        <w:rPr>
                          <w:rFonts w:ascii="Arial" w:hAnsi="Arial" w:cs="Arial"/>
                          <w:sz w:val="16"/>
                          <w:szCs w:val="16"/>
                        </w:rPr>
                        <w:t>“Bajo protesta de decir verdad declaramos que los Estados Financieros y sus notas, son razonablemente correctos y son responsabilidad del emisor”</w:t>
                      </w:r>
                    </w:p>
                  </w:txbxContent>
                </v:textbox>
                <w10:wrap anchorx="margin"/>
              </v:shape>
            </w:pict>
          </mc:Fallback>
        </mc:AlternateContent>
      </w:r>
    </w:p>
    <w:sectPr w:rsidR="00B5173F" w:rsidRPr="0062215D" w:rsidSect="001E1C63">
      <w:headerReference w:type="default" r:id="rId20"/>
      <w:footerReference w:type="default" r:id="rId21"/>
      <w:pgSz w:w="12240" w:h="15840"/>
      <w:pgMar w:top="851" w:right="170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35C7BE" w14:textId="77777777" w:rsidR="00214D9C" w:rsidRDefault="00214D9C" w:rsidP="00FF73A2">
      <w:pPr>
        <w:spacing w:after="0" w:line="240" w:lineRule="auto"/>
      </w:pPr>
      <w:r>
        <w:separator/>
      </w:r>
    </w:p>
  </w:endnote>
  <w:endnote w:type="continuationSeparator" w:id="0">
    <w:p w14:paraId="215CCB36" w14:textId="77777777" w:rsidR="00214D9C" w:rsidRDefault="00214D9C" w:rsidP="00FF7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altName w:val="Calibri"/>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11369362"/>
      <w:docPartObj>
        <w:docPartGallery w:val="Page Numbers (Bottom of Page)"/>
        <w:docPartUnique/>
      </w:docPartObj>
    </w:sdtPr>
    <w:sdtContent>
      <w:p w14:paraId="1E873DE0" w14:textId="0077346A" w:rsidR="00CA794F" w:rsidRDefault="00CA794F">
        <w:pPr>
          <w:pStyle w:val="Piedepgina"/>
          <w:jc w:val="right"/>
        </w:pPr>
        <w:r>
          <w:fldChar w:fldCharType="begin"/>
        </w:r>
        <w:r>
          <w:instrText>PAGE   \* MERGEFORMAT</w:instrText>
        </w:r>
        <w:r>
          <w:fldChar w:fldCharType="separate"/>
        </w:r>
        <w:r w:rsidR="002C3344" w:rsidRPr="002C3344">
          <w:rPr>
            <w:noProof/>
            <w:lang w:val="es-ES"/>
          </w:rPr>
          <w:t>30</w:t>
        </w:r>
        <w:r>
          <w:fldChar w:fldCharType="end"/>
        </w:r>
      </w:p>
    </w:sdtContent>
  </w:sdt>
  <w:p w14:paraId="2BF2C9B4" w14:textId="77777777" w:rsidR="00CA794F" w:rsidRDefault="00CA794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313A17" w14:textId="77777777" w:rsidR="00214D9C" w:rsidRDefault="00214D9C" w:rsidP="00FF73A2">
      <w:pPr>
        <w:spacing w:after="0" w:line="240" w:lineRule="auto"/>
      </w:pPr>
      <w:r>
        <w:separator/>
      </w:r>
    </w:p>
  </w:footnote>
  <w:footnote w:type="continuationSeparator" w:id="0">
    <w:p w14:paraId="39B8AFC6" w14:textId="77777777" w:rsidR="00214D9C" w:rsidRDefault="00214D9C" w:rsidP="00FF73A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7076D" w14:textId="77777777" w:rsidR="00CA794F" w:rsidRDefault="00CA794F" w:rsidP="00FF73A2">
    <w:pPr>
      <w:pStyle w:val="Encabezado"/>
      <w:jc w:val="center"/>
      <w:rPr>
        <w:rFonts w:ascii="Arial" w:hAnsi="Arial" w:cs="Arial"/>
        <w:sz w:val="24"/>
        <w:szCs w:val="24"/>
      </w:rPr>
    </w:pPr>
    <w:r w:rsidRPr="00450BCF">
      <w:rPr>
        <w:rFonts w:ascii="Cambria" w:eastAsia="MS Mincho" w:hAnsi="Cambria"/>
        <w:noProof/>
        <w:sz w:val="24"/>
        <w:szCs w:val="24"/>
        <w:lang w:eastAsia="es-MX"/>
      </w:rPr>
      <w:drawing>
        <wp:anchor distT="0" distB="0" distL="114300" distR="114300" simplePos="0" relativeHeight="251659264" behindDoc="0" locked="0" layoutInCell="1" allowOverlap="1" wp14:anchorId="54D22DF3" wp14:editId="7BF57B4D">
          <wp:simplePos x="0" y="0"/>
          <wp:positionH relativeFrom="margin">
            <wp:posOffset>-721360</wp:posOffset>
          </wp:positionH>
          <wp:positionV relativeFrom="paragraph">
            <wp:posOffset>-68580</wp:posOffset>
          </wp:positionV>
          <wp:extent cx="1936750" cy="566822"/>
          <wp:effectExtent l="0" t="0" r="6350" b="5080"/>
          <wp:wrapNone/>
          <wp:docPr id="561" name="Imagen 561" descr="Icon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para podium_page-0001.jpg"/>
                  <pic:cNvPicPr/>
                </pic:nvPicPr>
                <pic:blipFill>
                  <a:blip r:embed="rId1">
                    <a:extLst>
                      <a:ext uri="{28A0092B-C50C-407E-A947-70E740481C1C}">
                        <a14:useLocalDpi xmlns:a14="http://schemas.microsoft.com/office/drawing/2010/main" val="0"/>
                      </a:ext>
                    </a:extLst>
                  </a:blip>
                  <a:stretch>
                    <a:fillRect/>
                  </a:stretch>
                </pic:blipFill>
                <pic:spPr>
                  <a:xfrm>
                    <a:off x="0" y="0"/>
                    <a:ext cx="1936750" cy="56682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sz w:val="24"/>
        <w:szCs w:val="24"/>
      </w:rPr>
      <w:t>Poder Ejecutivo del Estado de Guerrero</w:t>
    </w:r>
  </w:p>
  <w:p w14:paraId="5B04B6EA" w14:textId="77777777" w:rsidR="00CA794F" w:rsidRDefault="00CA794F" w:rsidP="00FF73A2">
    <w:pPr>
      <w:pStyle w:val="Encabezado"/>
      <w:jc w:val="center"/>
      <w:rPr>
        <w:rFonts w:ascii="Arial" w:hAnsi="Arial" w:cs="Arial"/>
        <w:sz w:val="24"/>
        <w:szCs w:val="24"/>
      </w:rPr>
    </w:pPr>
  </w:p>
  <w:p w14:paraId="0E28F420" w14:textId="5A7A1606" w:rsidR="00CA794F" w:rsidRPr="00ED5563" w:rsidRDefault="00CA794F" w:rsidP="00FF73A2">
    <w:pPr>
      <w:pStyle w:val="Encabezado"/>
      <w:jc w:val="center"/>
      <w:rPr>
        <w:rFonts w:ascii="Arial" w:hAnsi="Arial" w:cs="Arial"/>
        <w:sz w:val="24"/>
        <w:szCs w:val="24"/>
      </w:rPr>
    </w:pPr>
    <w:r>
      <w:rPr>
        <w:rFonts w:ascii="Arial" w:hAnsi="Arial" w:cs="Arial"/>
        <w:sz w:val="24"/>
        <w:szCs w:val="24"/>
      </w:rPr>
      <w:t>Del 1 de enero al 3</w:t>
    </w:r>
    <w:r w:rsidR="00D33EC0">
      <w:rPr>
        <w:rFonts w:ascii="Arial" w:hAnsi="Arial" w:cs="Arial"/>
        <w:sz w:val="24"/>
        <w:szCs w:val="24"/>
      </w:rPr>
      <w:t>1</w:t>
    </w:r>
    <w:r>
      <w:rPr>
        <w:rFonts w:ascii="Arial" w:hAnsi="Arial" w:cs="Arial"/>
        <w:sz w:val="24"/>
        <w:szCs w:val="24"/>
      </w:rPr>
      <w:t xml:space="preserve"> de </w:t>
    </w:r>
    <w:r w:rsidR="000412E4">
      <w:rPr>
        <w:rFonts w:ascii="Arial" w:hAnsi="Arial" w:cs="Arial"/>
        <w:sz w:val="24"/>
        <w:szCs w:val="24"/>
      </w:rPr>
      <w:t>marzo</w:t>
    </w:r>
    <w:r>
      <w:rPr>
        <w:rFonts w:ascii="Arial" w:hAnsi="Arial" w:cs="Arial"/>
        <w:sz w:val="24"/>
        <w:szCs w:val="24"/>
      </w:rPr>
      <w:t xml:space="preserve"> del 202</w:t>
    </w:r>
    <w:r w:rsidR="000412E4">
      <w:rPr>
        <w:rFonts w:ascii="Arial" w:hAnsi="Arial" w:cs="Arial"/>
        <w:sz w:val="24"/>
        <w:szCs w:val="24"/>
      </w:rPr>
      <w:t>6</w:t>
    </w:r>
  </w:p>
  <w:p w14:paraId="5BEB7A59" w14:textId="77777777" w:rsidR="00CA794F" w:rsidRDefault="00CA794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B13E0"/>
    <w:multiLevelType w:val="hybridMultilevel"/>
    <w:tmpl w:val="7248A2F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 w15:restartNumberingAfterBreak="0">
    <w:nsid w:val="0F6412CB"/>
    <w:multiLevelType w:val="hybridMultilevel"/>
    <w:tmpl w:val="6F522502"/>
    <w:lvl w:ilvl="0" w:tplc="080A000F">
      <w:start w:val="1"/>
      <w:numFmt w:val="decimal"/>
      <w:lvlText w:val="%1."/>
      <w:lvlJc w:val="left"/>
      <w:pPr>
        <w:ind w:left="1068"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B484F09"/>
    <w:multiLevelType w:val="hybridMultilevel"/>
    <w:tmpl w:val="811482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DFF09D8"/>
    <w:multiLevelType w:val="hybridMultilevel"/>
    <w:tmpl w:val="BDFACDE0"/>
    <w:lvl w:ilvl="0" w:tplc="A22CF488">
      <w:start w:val="1"/>
      <w:numFmt w:val="lowerLetter"/>
      <w:lvlText w:val="%1)"/>
      <w:lvlJc w:val="left"/>
      <w:pPr>
        <w:ind w:left="644" w:hanging="360"/>
      </w:pPr>
      <w:rPr>
        <w:rFonts w:hint="default"/>
        <w:b/>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4" w15:restartNumberingAfterBreak="0">
    <w:nsid w:val="1E5D1C67"/>
    <w:multiLevelType w:val="hybridMultilevel"/>
    <w:tmpl w:val="210087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15076C"/>
    <w:multiLevelType w:val="hybridMultilevel"/>
    <w:tmpl w:val="D2F239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16718A0"/>
    <w:multiLevelType w:val="hybridMultilevel"/>
    <w:tmpl w:val="DA18728C"/>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7" w15:restartNumberingAfterBreak="0">
    <w:nsid w:val="25D62C41"/>
    <w:multiLevelType w:val="hybridMultilevel"/>
    <w:tmpl w:val="FBB26816"/>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8" w15:restartNumberingAfterBreak="0">
    <w:nsid w:val="261E0304"/>
    <w:multiLevelType w:val="hybridMultilevel"/>
    <w:tmpl w:val="0E88E47A"/>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9" w15:restartNumberingAfterBreak="0">
    <w:nsid w:val="29E44B81"/>
    <w:multiLevelType w:val="hybridMultilevel"/>
    <w:tmpl w:val="BC5489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2E12319A"/>
    <w:multiLevelType w:val="hybridMultilevel"/>
    <w:tmpl w:val="B02AC0EC"/>
    <w:lvl w:ilvl="0" w:tplc="EE84F174">
      <w:start w:val="1"/>
      <w:numFmt w:val="decimal"/>
      <w:lvlText w:val="%1."/>
      <w:lvlJc w:val="left"/>
      <w:pPr>
        <w:ind w:left="360" w:hanging="360"/>
      </w:pPr>
      <w:rPr>
        <w:rFonts w:hint="default"/>
        <w:b/>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1" w15:restartNumberingAfterBreak="0">
    <w:nsid w:val="2E22111B"/>
    <w:multiLevelType w:val="hybridMultilevel"/>
    <w:tmpl w:val="C40699E6"/>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40652E7A"/>
    <w:multiLevelType w:val="hybridMultilevel"/>
    <w:tmpl w:val="ADF631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75E1865"/>
    <w:multiLevelType w:val="multilevel"/>
    <w:tmpl w:val="2F7C28DC"/>
    <w:lvl w:ilvl="0">
      <w:start w:val="1"/>
      <w:numFmt w:val="decimal"/>
      <w:lvlText w:val="%1.0"/>
      <w:lvlJc w:val="left"/>
      <w:pPr>
        <w:ind w:left="405" w:hanging="405"/>
      </w:pPr>
      <w:rPr>
        <w:rFonts w:hint="default"/>
      </w:rPr>
    </w:lvl>
    <w:lvl w:ilvl="1">
      <w:start w:val="1"/>
      <w:numFmt w:val="decimal"/>
      <w:lvlText w:val="%1.%2"/>
      <w:lvlJc w:val="left"/>
      <w:pPr>
        <w:ind w:left="111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14" w15:restartNumberingAfterBreak="0">
    <w:nsid w:val="479D28CF"/>
    <w:multiLevelType w:val="hybridMultilevel"/>
    <w:tmpl w:val="EDB6119C"/>
    <w:lvl w:ilvl="0" w:tplc="B00C4E7C">
      <w:start w:val="1"/>
      <w:numFmt w:val="lowerLetter"/>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15:restartNumberingAfterBreak="0">
    <w:nsid w:val="50133838"/>
    <w:multiLevelType w:val="hybridMultilevel"/>
    <w:tmpl w:val="0AA833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50837AD6"/>
    <w:multiLevelType w:val="hybridMultilevel"/>
    <w:tmpl w:val="775C9AA2"/>
    <w:lvl w:ilvl="0" w:tplc="080A000D">
      <w:start w:val="1"/>
      <w:numFmt w:val="bullet"/>
      <w:lvlText w:val=""/>
      <w:lvlJc w:val="left"/>
      <w:pPr>
        <w:ind w:left="1004" w:hanging="360"/>
      </w:pPr>
      <w:rPr>
        <w:rFonts w:ascii="Wingdings" w:hAnsi="Wingdings" w:hint="default"/>
      </w:rPr>
    </w:lvl>
    <w:lvl w:ilvl="1" w:tplc="080A0003" w:tentative="1">
      <w:start w:val="1"/>
      <w:numFmt w:val="bullet"/>
      <w:lvlText w:val="o"/>
      <w:lvlJc w:val="left"/>
      <w:pPr>
        <w:ind w:left="1724" w:hanging="360"/>
      </w:pPr>
      <w:rPr>
        <w:rFonts w:ascii="Courier New" w:hAnsi="Courier New" w:cs="Courier New" w:hint="default"/>
      </w:rPr>
    </w:lvl>
    <w:lvl w:ilvl="2" w:tplc="080A0005" w:tentative="1">
      <w:start w:val="1"/>
      <w:numFmt w:val="bullet"/>
      <w:lvlText w:val=""/>
      <w:lvlJc w:val="left"/>
      <w:pPr>
        <w:ind w:left="2444" w:hanging="360"/>
      </w:pPr>
      <w:rPr>
        <w:rFonts w:ascii="Wingdings" w:hAnsi="Wingdings" w:hint="default"/>
      </w:rPr>
    </w:lvl>
    <w:lvl w:ilvl="3" w:tplc="080A0001" w:tentative="1">
      <w:start w:val="1"/>
      <w:numFmt w:val="bullet"/>
      <w:lvlText w:val=""/>
      <w:lvlJc w:val="left"/>
      <w:pPr>
        <w:ind w:left="3164" w:hanging="360"/>
      </w:pPr>
      <w:rPr>
        <w:rFonts w:ascii="Symbol" w:hAnsi="Symbol" w:hint="default"/>
      </w:rPr>
    </w:lvl>
    <w:lvl w:ilvl="4" w:tplc="080A0003" w:tentative="1">
      <w:start w:val="1"/>
      <w:numFmt w:val="bullet"/>
      <w:lvlText w:val="o"/>
      <w:lvlJc w:val="left"/>
      <w:pPr>
        <w:ind w:left="3884" w:hanging="360"/>
      </w:pPr>
      <w:rPr>
        <w:rFonts w:ascii="Courier New" w:hAnsi="Courier New" w:cs="Courier New" w:hint="default"/>
      </w:rPr>
    </w:lvl>
    <w:lvl w:ilvl="5" w:tplc="080A0005" w:tentative="1">
      <w:start w:val="1"/>
      <w:numFmt w:val="bullet"/>
      <w:lvlText w:val=""/>
      <w:lvlJc w:val="left"/>
      <w:pPr>
        <w:ind w:left="4604" w:hanging="360"/>
      </w:pPr>
      <w:rPr>
        <w:rFonts w:ascii="Wingdings" w:hAnsi="Wingdings" w:hint="default"/>
      </w:rPr>
    </w:lvl>
    <w:lvl w:ilvl="6" w:tplc="080A0001" w:tentative="1">
      <w:start w:val="1"/>
      <w:numFmt w:val="bullet"/>
      <w:lvlText w:val=""/>
      <w:lvlJc w:val="left"/>
      <w:pPr>
        <w:ind w:left="5324" w:hanging="360"/>
      </w:pPr>
      <w:rPr>
        <w:rFonts w:ascii="Symbol" w:hAnsi="Symbol" w:hint="default"/>
      </w:rPr>
    </w:lvl>
    <w:lvl w:ilvl="7" w:tplc="080A0003" w:tentative="1">
      <w:start w:val="1"/>
      <w:numFmt w:val="bullet"/>
      <w:lvlText w:val="o"/>
      <w:lvlJc w:val="left"/>
      <w:pPr>
        <w:ind w:left="6044" w:hanging="360"/>
      </w:pPr>
      <w:rPr>
        <w:rFonts w:ascii="Courier New" w:hAnsi="Courier New" w:cs="Courier New" w:hint="default"/>
      </w:rPr>
    </w:lvl>
    <w:lvl w:ilvl="8" w:tplc="080A0005" w:tentative="1">
      <w:start w:val="1"/>
      <w:numFmt w:val="bullet"/>
      <w:lvlText w:val=""/>
      <w:lvlJc w:val="left"/>
      <w:pPr>
        <w:ind w:left="6764" w:hanging="360"/>
      </w:pPr>
      <w:rPr>
        <w:rFonts w:ascii="Wingdings" w:hAnsi="Wingdings" w:hint="default"/>
      </w:rPr>
    </w:lvl>
  </w:abstractNum>
  <w:abstractNum w:abstractNumId="17" w15:restartNumberingAfterBreak="0">
    <w:nsid w:val="50A50890"/>
    <w:multiLevelType w:val="hybridMultilevel"/>
    <w:tmpl w:val="2840A000"/>
    <w:lvl w:ilvl="0" w:tplc="080A0009">
      <w:start w:val="1"/>
      <w:numFmt w:val="bullet"/>
      <w:lvlText w:val=""/>
      <w:lvlJc w:val="left"/>
      <w:pPr>
        <w:ind w:left="294" w:hanging="360"/>
      </w:pPr>
      <w:rPr>
        <w:rFonts w:ascii="Wingdings" w:hAnsi="Wingdings"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18" w15:restartNumberingAfterBreak="0">
    <w:nsid w:val="5D0F40BD"/>
    <w:multiLevelType w:val="multilevel"/>
    <w:tmpl w:val="A5E250F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9" w15:restartNumberingAfterBreak="0">
    <w:nsid w:val="612F04EB"/>
    <w:multiLevelType w:val="hybridMultilevel"/>
    <w:tmpl w:val="82F696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2192C8C"/>
    <w:multiLevelType w:val="hybridMultilevel"/>
    <w:tmpl w:val="77429ED0"/>
    <w:lvl w:ilvl="0" w:tplc="080A000D">
      <w:start w:val="1"/>
      <w:numFmt w:val="bullet"/>
      <w:lvlText w:val=""/>
      <w:lvlJc w:val="left"/>
      <w:pPr>
        <w:ind w:left="294" w:hanging="360"/>
      </w:pPr>
      <w:rPr>
        <w:rFonts w:ascii="Wingdings" w:hAnsi="Wingdings"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1" w15:restartNumberingAfterBreak="0">
    <w:nsid w:val="6C57226C"/>
    <w:multiLevelType w:val="hybridMultilevel"/>
    <w:tmpl w:val="6A30230E"/>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15:restartNumberingAfterBreak="0">
    <w:nsid w:val="6E767D86"/>
    <w:multiLevelType w:val="hybridMultilevel"/>
    <w:tmpl w:val="88EC2A1A"/>
    <w:lvl w:ilvl="0" w:tplc="145EC142">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E9D41E2"/>
    <w:multiLevelType w:val="hybridMultilevel"/>
    <w:tmpl w:val="9A6A71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EA631A6"/>
    <w:multiLevelType w:val="hybridMultilevel"/>
    <w:tmpl w:val="D38C2AA8"/>
    <w:lvl w:ilvl="0" w:tplc="080A000D">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6EA926A8"/>
    <w:multiLevelType w:val="hybridMultilevel"/>
    <w:tmpl w:val="DD4A2296"/>
    <w:lvl w:ilvl="0" w:tplc="080A0001">
      <w:start w:val="1"/>
      <w:numFmt w:val="bullet"/>
      <w:lvlText w:val=""/>
      <w:lvlJc w:val="left"/>
      <w:pPr>
        <w:ind w:left="294" w:hanging="360"/>
      </w:pPr>
      <w:rPr>
        <w:rFonts w:ascii="Symbol" w:hAnsi="Symbol" w:hint="default"/>
      </w:rPr>
    </w:lvl>
    <w:lvl w:ilvl="1" w:tplc="080A0003" w:tentative="1">
      <w:start w:val="1"/>
      <w:numFmt w:val="bullet"/>
      <w:lvlText w:val="o"/>
      <w:lvlJc w:val="left"/>
      <w:pPr>
        <w:ind w:left="1014" w:hanging="360"/>
      </w:pPr>
      <w:rPr>
        <w:rFonts w:ascii="Courier New" w:hAnsi="Courier New" w:cs="Courier New" w:hint="default"/>
      </w:rPr>
    </w:lvl>
    <w:lvl w:ilvl="2" w:tplc="080A0005" w:tentative="1">
      <w:start w:val="1"/>
      <w:numFmt w:val="bullet"/>
      <w:lvlText w:val=""/>
      <w:lvlJc w:val="left"/>
      <w:pPr>
        <w:ind w:left="1734" w:hanging="360"/>
      </w:pPr>
      <w:rPr>
        <w:rFonts w:ascii="Wingdings" w:hAnsi="Wingdings" w:hint="default"/>
      </w:rPr>
    </w:lvl>
    <w:lvl w:ilvl="3" w:tplc="080A0001" w:tentative="1">
      <w:start w:val="1"/>
      <w:numFmt w:val="bullet"/>
      <w:lvlText w:val=""/>
      <w:lvlJc w:val="left"/>
      <w:pPr>
        <w:ind w:left="2454" w:hanging="360"/>
      </w:pPr>
      <w:rPr>
        <w:rFonts w:ascii="Symbol" w:hAnsi="Symbol" w:hint="default"/>
      </w:rPr>
    </w:lvl>
    <w:lvl w:ilvl="4" w:tplc="080A0003" w:tentative="1">
      <w:start w:val="1"/>
      <w:numFmt w:val="bullet"/>
      <w:lvlText w:val="o"/>
      <w:lvlJc w:val="left"/>
      <w:pPr>
        <w:ind w:left="3174" w:hanging="360"/>
      </w:pPr>
      <w:rPr>
        <w:rFonts w:ascii="Courier New" w:hAnsi="Courier New" w:cs="Courier New" w:hint="default"/>
      </w:rPr>
    </w:lvl>
    <w:lvl w:ilvl="5" w:tplc="080A0005" w:tentative="1">
      <w:start w:val="1"/>
      <w:numFmt w:val="bullet"/>
      <w:lvlText w:val=""/>
      <w:lvlJc w:val="left"/>
      <w:pPr>
        <w:ind w:left="3894" w:hanging="360"/>
      </w:pPr>
      <w:rPr>
        <w:rFonts w:ascii="Wingdings" w:hAnsi="Wingdings" w:hint="default"/>
      </w:rPr>
    </w:lvl>
    <w:lvl w:ilvl="6" w:tplc="080A0001" w:tentative="1">
      <w:start w:val="1"/>
      <w:numFmt w:val="bullet"/>
      <w:lvlText w:val=""/>
      <w:lvlJc w:val="left"/>
      <w:pPr>
        <w:ind w:left="4614" w:hanging="360"/>
      </w:pPr>
      <w:rPr>
        <w:rFonts w:ascii="Symbol" w:hAnsi="Symbol" w:hint="default"/>
      </w:rPr>
    </w:lvl>
    <w:lvl w:ilvl="7" w:tplc="080A0003" w:tentative="1">
      <w:start w:val="1"/>
      <w:numFmt w:val="bullet"/>
      <w:lvlText w:val="o"/>
      <w:lvlJc w:val="left"/>
      <w:pPr>
        <w:ind w:left="5334" w:hanging="360"/>
      </w:pPr>
      <w:rPr>
        <w:rFonts w:ascii="Courier New" w:hAnsi="Courier New" w:cs="Courier New" w:hint="default"/>
      </w:rPr>
    </w:lvl>
    <w:lvl w:ilvl="8" w:tplc="080A0005" w:tentative="1">
      <w:start w:val="1"/>
      <w:numFmt w:val="bullet"/>
      <w:lvlText w:val=""/>
      <w:lvlJc w:val="left"/>
      <w:pPr>
        <w:ind w:left="6054" w:hanging="360"/>
      </w:pPr>
      <w:rPr>
        <w:rFonts w:ascii="Wingdings" w:hAnsi="Wingdings" w:hint="default"/>
      </w:rPr>
    </w:lvl>
  </w:abstractNum>
  <w:abstractNum w:abstractNumId="26" w15:restartNumberingAfterBreak="0">
    <w:nsid w:val="738501C0"/>
    <w:multiLevelType w:val="hybridMultilevel"/>
    <w:tmpl w:val="8032A59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C50374"/>
    <w:multiLevelType w:val="hybridMultilevel"/>
    <w:tmpl w:val="C95A3542"/>
    <w:lvl w:ilvl="0" w:tplc="7DE401D8">
      <w:start w:val="6"/>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7D9090F"/>
    <w:multiLevelType w:val="hybridMultilevel"/>
    <w:tmpl w:val="65EED748"/>
    <w:lvl w:ilvl="0" w:tplc="080A0017">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9" w15:restartNumberingAfterBreak="0">
    <w:nsid w:val="7CCF5F00"/>
    <w:multiLevelType w:val="hybridMultilevel"/>
    <w:tmpl w:val="4BE29224"/>
    <w:lvl w:ilvl="0" w:tplc="080A0017">
      <w:start w:val="1"/>
      <w:numFmt w:val="lowerLetter"/>
      <w:lvlText w:val="%1)"/>
      <w:lvlJc w:val="left"/>
      <w:pPr>
        <w:ind w:left="501" w:hanging="360"/>
      </w:pPr>
      <w:rPr>
        <w:rFonts w:hint="default"/>
      </w:rPr>
    </w:lvl>
    <w:lvl w:ilvl="1" w:tplc="FFFFFFFF" w:tentative="1">
      <w:start w:val="1"/>
      <w:numFmt w:val="bullet"/>
      <w:lvlText w:val="o"/>
      <w:lvlJc w:val="left"/>
      <w:pPr>
        <w:ind w:left="1221" w:hanging="360"/>
      </w:pPr>
      <w:rPr>
        <w:rFonts w:ascii="Courier New" w:hAnsi="Courier New" w:cs="Courier New" w:hint="default"/>
      </w:rPr>
    </w:lvl>
    <w:lvl w:ilvl="2" w:tplc="FFFFFFFF" w:tentative="1">
      <w:start w:val="1"/>
      <w:numFmt w:val="bullet"/>
      <w:lvlText w:val=""/>
      <w:lvlJc w:val="left"/>
      <w:pPr>
        <w:ind w:left="1941" w:hanging="360"/>
      </w:pPr>
      <w:rPr>
        <w:rFonts w:ascii="Wingdings" w:hAnsi="Wingdings" w:hint="default"/>
      </w:rPr>
    </w:lvl>
    <w:lvl w:ilvl="3" w:tplc="FFFFFFFF" w:tentative="1">
      <w:start w:val="1"/>
      <w:numFmt w:val="bullet"/>
      <w:lvlText w:val=""/>
      <w:lvlJc w:val="left"/>
      <w:pPr>
        <w:ind w:left="2661" w:hanging="360"/>
      </w:pPr>
      <w:rPr>
        <w:rFonts w:ascii="Symbol" w:hAnsi="Symbol" w:hint="default"/>
      </w:rPr>
    </w:lvl>
    <w:lvl w:ilvl="4" w:tplc="FFFFFFFF" w:tentative="1">
      <w:start w:val="1"/>
      <w:numFmt w:val="bullet"/>
      <w:lvlText w:val="o"/>
      <w:lvlJc w:val="left"/>
      <w:pPr>
        <w:ind w:left="3381" w:hanging="360"/>
      </w:pPr>
      <w:rPr>
        <w:rFonts w:ascii="Courier New" w:hAnsi="Courier New" w:cs="Courier New" w:hint="default"/>
      </w:rPr>
    </w:lvl>
    <w:lvl w:ilvl="5" w:tplc="FFFFFFFF" w:tentative="1">
      <w:start w:val="1"/>
      <w:numFmt w:val="bullet"/>
      <w:lvlText w:val=""/>
      <w:lvlJc w:val="left"/>
      <w:pPr>
        <w:ind w:left="4101" w:hanging="360"/>
      </w:pPr>
      <w:rPr>
        <w:rFonts w:ascii="Wingdings" w:hAnsi="Wingdings" w:hint="default"/>
      </w:rPr>
    </w:lvl>
    <w:lvl w:ilvl="6" w:tplc="FFFFFFFF" w:tentative="1">
      <w:start w:val="1"/>
      <w:numFmt w:val="bullet"/>
      <w:lvlText w:val=""/>
      <w:lvlJc w:val="left"/>
      <w:pPr>
        <w:ind w:left="4821" w:hanging="360"/>
      </w:pPr>
      <w:rPr>
        <w:rFonts w:ascii="Symbol" w:hAnsi="Symbol" w:hint="default"/>
      </w:rPr>
    </w:lvl>
    <w:lvl w:ilvl="7" w:tplc="FFFFFFFF" w:tentative="1">
      <w:start w:val="1"/>
      <w:numFmt w:val="bullet"/>
      <w:lvlText w:val="o"/>
      <w:lvlJc w:val="left"/>
      <w:pPr>
        <w:ind w:left="5541" w:hanging="360"/>
      </w:pPr>
      <w:rPr>
        <w:rFonts w:ascii="Courier New" w:hAnsi="Courier New" w:cs="Courier New" w:hint="default"/>
      </w:rPr>
    </w:lvl>
    <w:lvl w:ilvl="8" w:tplc="FFFFFFFF" w:tentative="1">
      <w:start w:val="1"/>
      <w:numFmt w:val="bullet"/>
      <w:lvlText w:val=""/>
      <w:lvlJc w:val="left"/>
      <w:pPr>
        <w:ind w:left="6261" w:hanging="360"/>
      </w:pPr>
      <w:rPr>
        <w:rFonts w:ascii="Wingdings" w:hAnsi="Wingdings" w:hint="default"/>
      </w:rPr>
    </w:lvl>
  </w:abstractNum>
  <w:abstractNum w:abstractNumId="30" w15:restartNumberingAfterBreak="0">
    <w:nsid w:val="7EFE38F6"/>
    <w:multiLevelType w:val="hybridMultilevel"/>
    <w:tmpl w:val="C902EE3A"/>
    <w:lvl w:ilvl="0" w:tplc="F0242FC2">
      <w:start w:val="1"/>
      <w:numFmt w:val="lowerLetter"/>
      <w:lvlText w:val="%1)"/>
      <w:lvlJc w:val="left"/>
      <w:pPr>
        <w:ind w:left="720" w:hanging="360"/>
      </w:pPr>
      <w:rPr>
        <w:rFonts w:hint="default"/>
        <w:b/>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975909789">
    <w:abstractNumId w:val="18"/>
  </w:num>
  <w:num w:numId="2" w16cid:durableId="1703751900">
    <w:abstractNumId w:val="0"/>
  </w:num>
  <w:num w:numId="3" w16cid:durableId="1560244850">
    <w:abstractNumId w:val="16"/>
  </w:num>
  <w:num w:numId="4" w16cid:durableId="1687752002">
    <w:abstractNumId w:val="11"/>
  </w:num>
  <w:num w:numId="5" w16cid:durableId="879511171">
    <w:abstractNumId w:val="7"/>
  </w:num>
  <w:num w:numId="6" w16cid:durableId="920261102">
    <w:abstractNumId w:val="6"/>
  </w:num>
  <w:num w:numId="7" w16cid:durableId="1275863269">
    <w:abstractNumId w:val="24"/>
  </w:num>
  <w:num w:numId="8" w16cid:durableId="2076081147">
    <w:abstractNumId w:val="5"/>
  </w:num>
  <w:num w:numId="9" w16cid:durableId="837576371">
    <w:abstractNumId w:val="9"/>
  </w:num>
  <w:num w:numId="10" w16cid:durableId="494495244">
    <w:abstractNumId w:val="13"/>
  </w:num>
  <w:num w:numId="11" w16cid:durableId="16615369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56852732">
    <w:abstractNumId w:val="14"/>
  </w:num>
  <w:num w:numId="13" w16cid:durableId="1689597991">
    <w:abstractNumId w:val="30"/>
  </w:num>
  <w:num w:numId="14" w16cid:durableId="910382492">
    <w:abstractNumId w:val="27"/>
  </w:num>
  <w:num w:numId="15" w16cid:durableId="1385368777">
    <w:abstractNumId w:val="22"/>
  </w:num>
  <w:num w:numId="16" w16cid:durableId="1703168746">
    <w:abstractNumId w:val="4"/>
  </w:num>
  <w:num w:numId="17" w16cid:durableId="28454995">
    <w:abstractNumId w:val="23"/>
  </w:num>
  <w:num w:numId="18" w16cid:durableId="1201209812">
    <w:abstractNumId w:val="26"/>
  </w:num>
  <w:num w:numId="19" w16cid:durableId="708192039">
    <w:abstractNumId w:val="19"/>
  </w:num>
  <w:num w:numId="20" w16cid:durableId="201672650">
    <w:abstractNumId w:val="12"/>
  </w:num>
  <w:num w:numId="21" w16cid:durableId="2146698410">
    <w:abstractNumId w:val="15"/>
  </w:num>
  <w:num w:numId="22" w16cid:durableId="1791239135">
    <w:abstractNumId w:val="21"/>
  </w:num>
  <w:num w:numId="23" w16cid:durableId="1305430769">
    <w:abstractNumId w:val="1"/>
  </w:num>
  <w:num w:numId="24" w16cid:durableId="1469855053">
    <w:abstractNumId w:val="29"/>
  </w:num>
  <w:num w:numId="25" w16cid:durableId="17589820">
    <w:abstractNumId w:val="28"/>
  </w:num>
  <w:num w:numId="26" w16cid:durableId="1381242325">
    <w:abstractNumId w:val="2"/>
  </w:num>
  <w:num w:numId="27" w16cid:durableId="1923681386">
    <w:abstractNumId w:val="8"/>
  </w:num>
  <w:num w:numId="28" w16cid:durableId="1688170943">
    <w:abstractNumId w:val="25"/>
  </w:num>
  <w:num w:numId="29" w16cid:durableId="889729532">
    <w:abstractNumId w:val="17"/>
  </w:num>
  <w:num w:numId="30" w16cid:durableId="999429478">
    <w:abstractNumId w:val="20"/>
  </w:num>
  <w:num w:numId="31" w16cid:durableId="21201174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73A2"/>
    <w:rsid w:val="00001703"/>
    <w:rsid w:val="00001FF8"/>
    <w:rsid w:val="00003E41"/>
    <w:rsid w:val="00013775"/>
    <w:rsid w:val="0001750C"/>
    <w:rsid w:val="000227FB"/>
    <w:rsid w:val="000318E3"/>
    <w:rsid w:val="00032067"/>
    <w:rsid w:val="0003744E"/>
    <w:rsid w:val="000412E4"/>
    <w:rsid w:val="00042677"/>
    <w:rsid w:val="00046863"/>
    <w:rsid w:val="00067EAA"/>
    <w:rsid w:val="00076744"/>
    <w:rsid w:val="00082E6F"/>
    <w:rsid w:val="00084A68"/>
    <w:rsid w:val="000A0B3B"/>
    <w:rsid w:val="000A0D64"/>
    <w:rsid w:val="000A46C4"/>
    <w:rsid w:val="000B7298"/>
    <w:rsid w:val="000C1B8C"/>
    <w:rsid w:val="000C55F8"/>
    <w:rsid w:val="000D2503"/>
    <w:rsid w:val="000E18C8"/>
    <w:rsid w:val="000E23E5"/>
    <w:rsid w:val="000E3E7B"/>
    <w:rsid w:val="000E3F2C"/>
    <w:rsid w:val="000E408D"/>
    <w:rsid w:val="000E4F9E"/>
    <w:rsid w:val="001318AE"/>
    <w:rsid w:val="00136234"/>
    <w:rsid w:val="00136A8F"/>
    <w:rsid w:val="00146616"/>
    <w:rsid w:val="00150443"/>
    <w:rsid w:val="00153821"/>
    <w:rsid w:val="00162219"/>
    <w:rsid w:val="0016408F"/>
    <w:rsid w:val="001741AE"/>
    <w:rsid w:val="00182261"/>
    <w:rsid w:val="00185BC4"/>
    <w:rsid w:val="00190789"/>
    <w:rsid w:val="00193EAE"/>
    <w:rsid w:val="001A4731"/>
    <w:rsid w:val="001B2E61"/>
    <w:rsid w:val="001C13C8"/>
    <w:rsid w:val="001E1C63"/>
    <w:rsid w:val="00201B3C"/>
    <w:rsid w:val="00202ACC"/>
    <w:rsid w:val="00207542"/>
    <w:rsid w:val="00214D9C"/>
    <w:rsid w:val="00216516"/>
    <w:rsid w:val="002202DB"/>
    <w:rsid w:val="00225274"/>
    <w:rsid w:val="002376C1"/>
    <w:rsid w:val="00240B3F"/>
    <w:rsid w:val="00250DC1"/>
    <w:rsid w:val="0025362A"/>
    <w:rsid w:val="00255761"/>
    <w:rsid w:val="0026285D"/>
    <w:rsid w:val="0026602F"/>
    <w:rsid w:val="00270AB6"/>
    <w:rsid w:val="002717B8"/>
    <w:rsid w:val="00272D1D"/>
    <w:rsid w:val="002738A0"/>
    <w:rsid w:val="00277748"/>
    <w:rsid w:val="00292955"/>
    <w:rsid w:val="00296835"/>
    <w:rsid w:val="002A64EA"/>
    <w:rsid w:val="002C3344"/>
    <w:rsid w:val="002D1F78"/>
    <w:rsid w:val="002D3F06"/>
    <w:rsid w:val="002D46A3"/>
    <w:rsid w:val="002D585A"/>
    <w:rsid w:val="002E3620"/>
    <w:rsid w:val="002E39F5"/>
    <w:rsid w:val="002E5290"/>
    <w:rsid w:val="002F319D"/>
    <w:rsid w:val="002F406E"/>
    <w:rsid w:val="00303478"/>
    <w:rsid w:val="00312544"/>
    <w:rsid w:val="00313C5F"/>
    <w:rsid w:val="00320DC2"/>
    <w:rsid w:val="003247C5"/>
    <w:rsid w:val="00331B47"/>
    <w:rsid w:val="00331E34"/>
    <w:rsid w:val="00333CA8"/>
    <w:rsid w:val="00351017"/>
    <w:rsid w:val="003627B5"/>
    <w:rsid w:val="003903DB"/>
    <w:rsid w:val="00390849"/>
    <w:rsid w:val="00390D9A"/>
    <w:rsid w:val="003A214C"/>
    <w:rsid w:val="003A43D6"/>
    <w:rsid w:val="003A4A39"/>
    <w:rsid w:val="003B1F1F"/>
    <w:rsid w:val="003B3A3A"/>
    <w:rsid w:val="003C5CED"/>
    <w:rsid w:val="003D1E0A"/>
    <w:rsid w:val="003D2088"/>
    <w:rsid w:val="003E0874"/>
    <w:rsid w:val="003E3FAB"/>
    <w:rsid w:val="003E54B2"/>
    <w:rsid w:val="003E6F05"/>
    <w:rsid w:val="003E7FCE"/>
    <w:rsid w:val="004026E0"/>
    <w:rsid w:val="004149F8"/>
    <w:rsid w:val="0042113A"/>
    <w:rsid w:val="00421AE9"/>
    <w:rsid w:val="0043560D"/>
    <w:rsid w:val="00435E85"/>
    <w:rsid w:val="00450B0D"/>
    <w:rsid w:val="00457B49"/>
    <w:rsid w:val="00464019"/>
    <w:rsid w:val="00473CEE"/>
    <w:rsid w:val="00484865"/>
    <w:rsid w:val="00484D61"/>
    <w:rsid w:val="00485AB7"/>
    <w:rsid w:val="004A0D90"/>
    <w:rsid w:val="004A4A1C"/>
    <w:rsid w:val="004A704F"/>
    <w:rsid w:val="004B58D7"/>
    <w:rsid w:val="004F6591"/>
    <w:rsid w:val="00503CAC"/>
    <w:rsid w:val="00504472"/>
    <w:rsid w:val="00506EBD"/>
    <w:rsid w:val="00510F2E"/>
    <w:rsid w:val="00530E48"/>
    <w:rsid w:val="00532432"/>
    <w:rsid w:val="00536356"/>
    <w:rsid w:val="00540FA6"/>
    <w:rsid w:val="00544373"/>
    <w:rsid w:val="0055439E"/>
    <w:rsid w:val="00556F6E"/>
    <w:rsid w:val="00560151"/>
    <w:rsid w:val="00563CDA"/>
    <w:rsid w:val="00573456"/>
    <w:rsid w:val="00581E01"/>
    <w:rsid w:val="0058789A"/>
    <w:rsid w:val="00591D90"/>
    <w:rsid w:val="005978AB"/>
    <w:rsid w:val="005A2191"/>
    <w:rsid w:val="005A51AA"/>
    <w:rsid w:val="005A65EE"/>
    <w:rsid w:val="005C69B0"/>
    <w:rsid w:val="005D5870"/>
    <w:rsid w:val="005E1D46"/>
    <w:rsid w:val="005E4B16"/>
    <w:rsid w:val="005E6FC3"/>
    <w:rsid w:val="005E7EB3"/>
    <w:rsid w:val="005F14AE"/>
    <w:rsid w:val="005F28A6"/>
    <w:rsid w:val="005F551A"/>
    <w:rsid w:val="005F5553"/>
    <w:rsid w:val="0060029F"/>
    <w:rsid w:val="00605477"/>
    <w:rsid w:val="0061007A"/>
    <w:rsid w:val="0062215D"/>
    <w:rsid w:val="00634C05"/>
    <w:rsid w:val="006357AD"/>
    <w:rsid w:val="00635D0F"/>
    <w:rsid w:val="006424ED"/>
    <w:rsid w:val="006447FA"/>
    <w:rsid w:val="006549B2"/>
    <w:rsid w:val="00660D1B"/>
    <w:rsid w:val="0066329F"/>
    <w:rsid w:val="00665038"/>
    <w:rsid w:val="00666C2B"/>
    <w:rsid w:val="006723E6"/>
    <w:rsid w:val="00677679"/>
    <w:rsid w:val="00686DBE"/>
    <w:rsid w:val="00690689"/>
    <w:rsid w:val="00693872"/>
    <w:rsid w:val="006954A8"/>
    <w:rsid w:val="00696962"/>
    <w:rsid w:val="00696B00"/>
    <w:rsid w:val="006A736B"/>
    <w:rsid w:val="006B5A64"/>
    <w:rsid w:val="006C671E"/>
    <w:rsid w:val="006E0ABD"/>
    <w:rsid w:val="006E308C"/>
    <w:rsid w:val="006F1077"/>
    <w:rsid w:val="006F7145"/>
    <w:rsid w:val="00701D2F"/>
    <w:rsid w:val="00706228"/>
    <w:rsid w:val="00713C5A"/>
    <w:rsid w:val="007211FB"/>
    <w:rsid w:val="007215FF"/>
    <w:rsid w:val="00733624"/>
    <w:rsid w:val="00746331"/>
    <w:rsid w:val="00750FFE"/>
    <w:rsid w:val="00757E77"/>
    <w:rsid w:val="00760884"/>
    <w:rsid w:val="00765C90"/>
    <w:rsid w:val="0076735E"/>
    <w:rsid w:val="00771FE3"/>
    <w:rsid w:val="007723FA"/>
    <w:rsid w:val="00775BDA"/>
    <w:rsid w:val="00787AF4"/>
    <w:rsid w:val="00797306"/>
    <w:rsid w:val="007B09C4"/>
    <w:rsid w:val="007C4805"/>
    <w:rsid w:val="007D304B"/>
    <w:rsid w:val="007D3F49"/>
    <w:rsid w:val="007E172B"/>
    <w:rsid w:val="007E2480"/>
    <w:rsid w:val="007E55E0"/>
    <w:rsid w:val="007F7734"/>
    <w:rsid w:val="008149A6"/>
    <w:rsid w:val="0082599A"/>
    <w:rsid w:val="0083109F"/>
    <w:rsid w:val="008328CD"/>
    <w:rsid w:val="00856918"/>
    <w:rsid w:val="0086213F"/>
    <w:rsid w:val="00871121"/>
    <w:rsid w:val="00874259"/>
    <w:rsid w:val="00874FEC"/>
    <w:rsid w:val="008A4A90"/>
    <w:rsid w:val="008A5EB8"/>
    <w:rsid w:val="008A69CB"/>
    <w:rsid w:val="008B0BCA"/>
    <w:rsid w:val="008C1F1B"/>
    <w:rsid w:val="008C6E41"/>
    <w:rsid w:val="008D3B61"/>
    <w:rsid w:val="008D5911"/>
    <w:rsid w:val="008E1825"/>
    <w:rsid w:val="008F37E1"/>
    <w:rsid w:val="00912900"/>
    <w:rsid w:val="00912CC9"/>
    <w:rsid w:val="00915E95"/>
    <w:rsid w:val="00922B2C"/>
    <w:rsid w:val="00937D4C"/>
    <w:rsid w:val="00941F06"/>
    <w:rsid w:val="009517DA"/>
    <w:rsid w:val="0095792A"/>
    <w:rsid w:val="00963E88"/>
    <w:rsid w:val="00970EB3"/>
    <w:rsid w:val="00972775"/>
    <w:rsid w:val="009871A2"/>
    <w:rsid w:val="00990814"/>
    <w:rsid w:val="0099083F"/>
    <w:rsid w:val="009912EA"/>
    <w:rsid w:val="00997CC5"/>
    <w:rsid w:val="009C3A7D"/>
    <w:rsid w:val="009D1050"/>
    <w:rsid w:val="009D339E"/>
    <w:rsid w:val="009F2C07"/>
    <w:rsid w:val="009F3A5C"/>
    <w:rsid w:val="009F4046"/>
    <w:rsid w:val="00A02D34"/>
    <w:rsid w:val="00A03C4F"/>
    <w:rsid w:val="00A10114"/>
    <w:rsid w:val="00A104BF"/>
    <w:rsid w:val="00A11C8B"/>
    <w:rsid w:val="00A1333F"/>
    <w:rsid w:val="00A16F60"/>
    <w:rsid w:val="00A27C87"/>
    <w:rsid w:val="00A360AB"/>
    <w:rsid w:val="00A431DA"/>
    <w:rsid w:val="00A66887"/>
    <w:rsid w:val="00A67DF0"/>
    <w:rsid w:val="00A74B40"/>
    <w:rsid w:val="00A916E7"/>
    <w:rsid w:val="00AA0A67"/>
    <w:rsid w:val="00AA433E"/>
    <w:rsid w:val="00AB0D60"/>
    <w:rsid w:val="00AB2764"/>
    <w:rsid w:val="00AB3E9A"/>
    <w:rsid w:val="00AD220E"/>
    <w:rsid w:val="00AE2F44"/>
    <w:rsid w:val="00AF2A40"/>
    <w:rsid w:val="00B02461"/>
    <w:rsid w:val="00B15CC6"/>
    <w:rsid w:val="00B2127D"/>
    <w:rsid w:val="00B24E5A"/>
    <w:rsid w:val="00B26E6A"/>
    <w:rsid w:val="00B30E89"/>
    <w:rsid w:val="00B40605"/>
    <w:rsid w:val="00B509C3"/>
    <w:rsid w:val="00B5173F"/>
    <w:rsid w:val="00B53248"/>
    <w:rsid w:val="00B54695"/>
    <w:rsid w:val="00B740CF"/>
    <w:rsid w:val="00B82975"/>
    <w:rsid w:val="00B95D2F"/>
    <w:rsid w:val="00BA00C7"/>
    <w:rsid w:val="00BA5CFA"/>
    <w:rsid w:val="00BA6013"/>
    <w:rsid w:val="00BB16B4"/>
    <w:rsid w:val="00BB3F37"/>
    <w:rsid w:val="00BD0ADA"/>
    <w:rsid w:val="00BF6BC0"/>
    <w:rsid w:val="00C07FDC"/>
    <w:rsid w:val="00C1001D"/>
    <w:rsid w:val="00C11565"/>
    <w:rsid w:val="00C1348E"/>
    <w:rsid w:val="00C22480"/>
    <w:rsid w:val="00C26CA2"/>
    <w:rsid w:val="00C30D3A"/>
    <w:rsid w:val="00C31C81"/>
    <w:rsid w:val="00C32BDA"/>
    <w:rsid w:val="00C339EB"/>
    <w:rsid w:val="00C40B0B"/>
    <w:rsid w:val="00C421DB"/>
    <w:rsid w:val="00C4516B"/>
    <w:rsid w:val="00C51974"/>
    <w:rsid w:val="00C5431A"/>
    <w:rsid w:val="00C62D29"/>
    <w:rsid w:val="00C64300"/>
    <w:rsid w:val="00C670E2"/>
    <w:rsid w:val="00C72DDC"/>
    <w:rsid w:val="00C751DA"/>
    <w:rsid w:val="00C77AFB"/>
    <w:rsid w:val="00C84CB2"/>
    <w:rsid w:val="00C87E4E"/>
    <w:rsid w:val="00C909BC"/>
    <w:rsid w:val="00C91CF0"/>
    <w:rsid w:val="00C9676E"/>
    <w:rsid w:val="00CA794F"/>
    <w:rsid w:val="00CB298D"/>
    <w:rsid w:val="00CB32B9"/>
    <w:rsid w:val="00CC5BFC"/>
    <w:rsid w:val="00CD71E8"/>
    <w:rsid w:val="00CF6935"/>
    <w:rsid w:val="00D10BF5"/>
    <w:rsid w:val="00D12049"/>
    <w:rsid w:val="00D1368A"/>
    <w:rsid w:val="00D163F9"/>
    <w:rsid w:val="00D22EC7"/>
    <w:rsid w:val="00D23850"/>
    <w:rsid w:val="00D33EC0"/>
    <w:rsid w:val="00D3528F"/>
    <w:rsid w:val="00D37273"/>
    <w:rsid w:val="00D373E8"/>
    <w:rsid w:val="00D417C2"/>
    <w:rsid w:val="00D55AA0"/>
    <w:rsid w:val="00D56589"/>
    <w:rsid w:val="00D57B5C"/>
    <w:rsid w:val="00D62C3A"/>
    <w:rsid w:val="00D62D7D"/>
    <w:rsid w:val="00D95A7F"/>
    <w:rsid w:val="00D96776"/>
    <w:rsid w:val="00DD67ED"/>
    <w:rsid w:val="00DE23FE"/>
    <w:rsid w:val="00DE479B"/>
    <w:rsid w:val="00DE605C"/>
    <w:rsid w:val="00DE6D6B"/>
    <w:rsid w:val="00DF086F"/>
    <w:rsid w:val="00DF11BB"/>
    <w:rsid w:val="00DF26D0"/>
    <w:rsid w:val="00DF5DF8"/>
    <w:rsid w:val="00E13802"/>
    <w:rsid w:val="00E15181"/>
    <w:rsid w:val="00E2635A"/>
    <w:rsid w:val="00E27A6D"/>
    <w:rsid w:val="00E32312"/>
    <w:rsid w:val="00E37791"/>
    <w:rsid w:val="00E45BC4"/>
    <w:rsid w:val="00E477F5"/>
    <w:rsid w:val="00E63A67"/>
    <w:rsid w:val="00E71434"/>
    <w:rsid w:val="00E72D99"/>
    <w:rsid w:val="00E74042"/>
    <w:rsid w:val="00E74526"/>
    <w:rsid w:val="00E77454"/>
    <w:rsid w:val="00E82600"/>
    <w:rsid w:val="00E9510C"/>
    <w:rsid w:val="00E956AB"/>
    <w:rsid w:val="00EA6290"/>
    <w:rsid w:val="00EC0C00"/>
    <w:rsid w:val="00EC5ABF"/>
    <w:rsid w:val="00ED101F"/>
    <w:rsid w:val="00ED3C60"/>
    <w:rsid w:val="00ED67EE"/>
    <w:rsid w:val="00EE22AB"/>
    <w:rsid w:val="00EE5A3F"/>
    <w:rsid w:val="00EE7388"/>
    <w:rsid w:val="00F01C89"/>
    <w:rsid w:val="00F0355C"/>
    <w:rsid w:val="00F10254"/>
    <w:rsid w:val="00F1318B"/>
    <w:rsid w:val="00F139DA"/>
    <w:rsid w:val="00F20B88"/>
    <w:rsid w:val="00F328D9"/>
    <w:rsid w:val="00F44FFD"/>
    <w:rsid w:val="00F578B0"/>
    <w:rsid w:val="00F57933"/>
    <w:rsid w:val="00F62CD6"/>
    <w:rsid w:val="00F736EF"/>
    <w:rsid w:val="00F760D0"/>
    <w:rsid w:val="00F8037F"/>
    <w:rsid w:val="00F90820"/>
    <w:rsid w:val="00F920CD"/>
    <w:rsid w:val="00FA2BF1"/>
    <w:rsid w:val="00FB3358"/>
    <w:rsid w:val="00FB3644"/>
    <w:rsid w:val="00FD13A1"/>
    <w:rsid w:val="00FD4F86"/>
    <w:rsid w:val="00FD7B3F"/>
    <w:rsid w:val="00FE080A"/>
    <w:rsid w:val="00FE1281"/>
    <w:rsid w:val="00FE5943"/>
    <w:rsid w:val="00FF04D1"/>
    <w:rsid w:val="00FF1CD8"/>
    <w:rsid w:val="00FF5D15"/>
    <w:rsid w:val="00FF73A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2660738"/>
  <w15:chartTrackingRefBased/>
  <w15:docId w15:val="{86BF0701-A746-42B0-8385-C580429C53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73A2"/>
    <w:rPr>
      <w:kern w:val="2"/>
      <w14:ligatures w14:val="standardContextual"/>
    </w:rPr>
  </w:style>
  <w:style w:type="paragraph" w:styleId="Ttulo1">
    <w:name w:val="heading 1"/>
    <w:basedOn w:val="Normal"/>
    <w:next w:val="Normal"/>
    <w:link w:val="Ttulo1Car"/>
    <w:uiPriority w:val="9"/>
    <w:qFormat/>
    <w:rsid w:val="00FF73A2"/>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FF73A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next w:val="Normal"/>
    <w:link w:val="Ttulo3Car"/>
    <w:uiPriority w:val="9"/>
    <w:unhideWhenUsed/>
    <w:qFormat/>
    <w:rsid w:val="00FF73A2"/>
    <w:pPr>
      <w:keepNext/>
      <w:keepLines/>
      <w:spacing w:after="2" w:line="254" w:lineRule="auto"/>
      <w:ind w:left="10" w:right="539" w:hanging="10"/>
      <w:jc w:val="center"/>
      <w:outlineLvl w:val="2"/>
    </w:pPr>
    <w:rPr>
      <w:rFonts w:ascii="Calibri" w:eastAsia="Calibri" w:hAnsi="Calibri" w:cs="Calibri"/>
      <w:color w:val="ED2400"/>
      <w:kern w:val="2"/>
      <w:sz w:val="19"/>
      <w:lang w:eastAsia="es-MX"/>
      <w14:ligatures w14:val="standardContextual"/>
    </w:rPr>
  </w:style>
  <w:style w:type="paragraph" w:styleId="Ttulo4">
    <w:name w:val="heading 4"/>
    <w:basedOn w:val="Normal"/>
    <w:next w:val="Normal"/>
    <w:link w:val="Ttulo4Car"/>
    <w:uiPriority w:val="9"/>
    <w:semiHidden/>
    <w:unhideWhenUsed/>
    <w:qFormat/>
    <w:rsid w:val="00FF73A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Ttulo5">
    <w:name w:val="heading 5"/>
    <w:basedOn w:val="Normal"/>
    <w:next w:val="Normal"/>
    <w:link w:val="Ttulo5Car"/>
    <w:uiPriority w:val="9"/>
    <w:semiHidden/>
    <w:unhideWhenUsed/>
    <w:qFormat/>
    <w:rsid w:val="007723FA"/>
    <w:pPr>
      <w:keepNext/>
      <w:keepLines/>
      <w:spacing w:before="40" w:after="0"/>
      <w:outlineLvl w:val="4"/>
    </w:pPr>
    <w:rPr>
      <w:rFonts w:eastAsia="Times New Roman" w:cs="Times New Roman"/>
      <w:color w:val="0F4761"/>
      <w:kern w:val="0"/>
      <w14:ligatures w14:val="none"/>
    </w:rPr>
  </w:style>
  <w:style w:type="paragraph" w:styleId="Ttulo6">
    <w:name w:val="heading 6"/>
    <w:basedOn w:val="Normal"/>
    <w:next w:val="Normal"/>
    <w:link w:val="Ttulo6Car"/>
    <w:uiPriority w:val="9"/>
    <w:semiHidden/>
    <w:unhideWhenUsed/>
    <w:qFormat/>
    <w:rsid w:val="007723FA"/>
    <w:pPr>
      <w:keepNext/>
      <w:keepLines/>
      <w:spacing w:before="40" w:after="0"/>
      <w:outlineLvl w:val="5"/>
    </w:pPr>
    <w:rPr>
      <w:rFonts w:eastAsia="Times New Roman" w:cs="Times New Roman"/>
      <w:i/>
      <w:iCs/>
      <w:color w:val="595959"/>
      <w:kern w:val="0"/>
      <w14:ligatures w14:val="none"/>
    </w:rPr>
  </w:style>
  <w:style w:type="paragraph" w:styleId="Ttulo7">
    <w:name w:val="heading 7"/>
    <w:basedOn w:val="Normal"/>
    <w:next w:val="Normal"/>
    <w:link w:val="Ttulo7Car"/>
    <w:uiPriority w:val="9"/>
    <w:semiHidden/>
    <w:unhideWhenUsed/>
    <w:qFormat/>
    <w:rsid w:val="007723FA"/>
    <w:pPr>
      <w:keepNext/>
      <w:keepLines/>
      <w:spacing w:before="40" w:after="0"/>
      <w:outlineLvl w:val="6"/>
    </w:pPr>
    <w:rPr>
      <w:rFonts w:eastAsia="Times New Roman" w:cs="Times New Roman"/>
      <w:color w:val="595959"/>
      <w:kern w:val="0"/>
      <w14:ligatures w14:val="none"/>
    </w:rPr>
  </w:style>
  <w:style w:type="paragraph" w:styleId="Ttulo8">
    <w:name w:val="heading 8"/>
    <w:basedOn w:val="Normal"/>
    <w:next w:val="Normal"/>
    <w:link w:val="Ttulo8Car"/>
    <w:uiPriority w:val="9"/>
    <w:semiHidden/>
    <w:unhideWhenUsed/>
    <w:qFormat/>
    <w:rsid w:val="007723FA"/>
    <w:pPr>
      <w:keepNext/>
      <w:keepLines/>
      <w:spacing w:before="40" w:after="0"/>
      <w:outlineLvl w:val="7"/>
    </w:pPr>
    <w:rPr>
      <w:rFonts w:eastAsia="Times New Roman" w:cs="Times New Roman"/>
      <w:i/>
      <w:iCs/>
      <w:color w:val="272727"/>
      <w:kern w:val="0"/>
      <w14:ligatures w14:val="none"/>
    </w:rPr>
  </w:style>
  <w:style w:type="paragraph" w:styleId="Ttulo9">
    <w:name w:val="heading 9"/>
    <w:basedOn w:val="Normal"/>
    <w:next w:val="Normal"/>
    <w:link w:val="Ttulo9Car"/>
    <w:uiPriority w:val="9"/>
    <w:semiHidden/>
    <w:unhideWhenUsed/>
    <w:qFormat/>
    <w:rsid w:val="007723FA"/>
    <w:pPr>
      <w:keepNext/>
      <w:keepLines/>
      <w:spacing w:before="40" w:after="0"/>
      <w:outlineLvl w:val="8"/>
    </w:pPr>
    <w:rPr>
      <w:rFonts w:eastAsia="Times New Roman" w:cs="Times New Roman"/>
      <w:color w:val="272727"/>
      <w:kern w:val="0"/>
      <w14:ligatures w14:val="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3Car">
    <w:name w:val="Título 3 Car"/>
    <w:basedOn w:val="Fuentedeprrafopredeter"/>
    <w:link w:val="Ttulo3"/>
    <w:uiPriority w:val="9"/>
    <w:rsid w:val="00FF73A2"/>
    <w:rPr>
      <w:rFonts w:ascii="Calibri" w:eastAsia="Calibri" w:hAnsi="Calibri" w:cs="Calibri"/>
      <w:color w:val="ED2400"/>
      <w:kern w:val="2"/>
      <w:sz w:val="19"/>
      <w:lang w:eastAsia="es-MX"/>
      <w14:ligatures w14:val="standardContextual"/>
    </w:rPr>
  </w:style>
  <w:style w:type="paragraph" w:styleId="Prrafodelista">
    <w:name w:val="List Paragraph"/>
    <w:basedOn w:val="Normal"/>
    <w:uiPriority w:val="34"/>
    <w:qFormat/>
    <w:rsid w:val="00FF73A2"/>
    <w:pPr>
      <w:ind w:left="720"/>
      <w:contextualSpacing/>
    </w:pPr>
    <w:rPr>
      <w:rFonts w:ascii="Calibri" w:eastAsia="Calibri" w:hAnsi="Calibri" w:cs="Calibri"/>
      <w:color w:val="000000"/>
      <w:lang w:eastAsia="es-MX"/>
    </w:rPr>
  </w:style>
  <w:style w:type="paragraph" w:styleId="Sinespaciado">
    <w:name w:val="No Spacing"/>
    <w:link w:val="SinespaciadoCar"/>
    <w:uiPriority w:val="1"/>
    <w:qFormat/>
    <w:rsid w:val="00FF73A2"/>
    <w:pPr>
      <w:spacing w:after="0" w:line="240" w:lineRule="auto"/>
    </w:pPr>
    <w:rPr>
      <w:rFonts w:ascii="Calibri" w:eastAsia="Calibri" w:hAnsi="Calibri" w:cs="Calibri"/>
      <w:color w:val="000000"/>
      <w:kern w:val="2"/>
      <w:lang w:eastAsia="es-MX"/>
      <w14:ligatures w14:val="standardContextual"/>
    </w:rPr>
  </w:style>
  <w:style w:type="table" w:customStyle="1" w:styleId="TableGrid">
    <w:name w:val="TableGrid"/>
    <w:rsid w:val="00FF73A2"/>
    <w:pPr>
      <w:spacing w:after="0" w:line="240" w:lineRule="auto"/>
    </w:pPr>
    <w:rPr>
      <w:rFonts w:eastAsiaTheme="minorEastAsia"/>
      <w:kern w:val="2"/>
      <w:lang w:eastAsia="es-MX"/>
      <w14:ligatures w14:val="standardContextual"/>
    </w:rPr>
    <w:tblPr>
      <w:tblCellMar>
        <w:top w:w="0" w:type="dxa"/>
        <w:left w:w="0" w:type="dxa"/>
        <w:bottom w:w="0" w:type="dxa"/>
        <w:right w:w="0" w:type="dxa"/>
      </w:tblCellMar>
    </w:tblPr>
  </w:style>
  <w:style w:type="character" w:customStyle="1" w:styleId="Ttulo1Car">
    <w:name w:val="Título 1 Car"/>
    <w:basedOn w:val="Fuentedeprrafopredeter"/>
    <w:link w:val="Ttulo1"/>
    <w:uiPriority w:val="9"/>
    <w:rsid w:val="00FF73A2"/>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Ttulo2Car">
    <w:name w:val="Título 2 Car"/>
    <w:basedOn w:val="Fuentedeprrafopredeter"/>
    <w:link w:val="Ttulo2"/>
    <w:uiPriority w:val="9"/>
    <w:rsid w:val="00FF73A2"/>
    <w:rPr>
      <w:rFonts w:asciiTheme="majorHAnsi" w:eastAsiaTheme="majorEastAsia" w:hAnsiTheme="majorHAnsi" w:cstheme="majorBidi"/>
      <w:color w:val="2F5496" w:themeColor="accent1" w:themeShade="BF"/>
      <w:kern w:val="2"/>
      <w:sz w:val="26"/>
      <w:szCs w:val="26"/>
      <w14:ligatures w14:val="standardContextual"/>
    </w:rPr>
  </w:style>
  <w:style w:type="character" w:customStyle="1" w:styleId="Ttulo4Car">
    <w:name w:val="Título 4 Car"/>
    <w:basedOn w:val="Fuentedeprrafopredeter"/>
    <w:link w:val="Ttulo4"/>
    <w:uiPriority w:val="9"/>
    <w:semiHidden/>
    <w:rsid w:val="00FF73A2"/>
    <w:rPr>
      <w:rFonts w:asciiTheme="majorHAnsi" w:eastAsiaTheme="majorEastAsia" w:hAnsiTheme="majorHAnsi" w:cstheme="majorBidi"/>
      <w:i/>
      <w:iCs/>
      <w:color w:val="2F5496" w:themeColor="accent1" w:themeShade="BF"/>
      <w:kern w:val="2"/>
      <w14:ligatures w14:val="standardContextual"/>
    </w:rPr>
  </w:style>
  <w:style w:type="character" w:customStyle="1" w:styleId="SinespaciadoCar">
    <w:name w:val="Sin espaciado Car"/>
    <w:link w:val="Sinespaciado"/>
    <w:uiPriority w:val="1"/>
    <w:rsid w:val="00FF73A2"/>
    <w:rPr>
      <w:rFonts w:ascii="Calibri" w:eastAsia="Calibri" w:hAnsi="Calibri" w:cs="Calibri"/>
      <w:color w:val="000000"/>
      <w:kern w:val="2"/>
      <w:lang w:eastAsia="es-MX"/>
      <w14:ligatures w14:val="standardContextual"/>
    </w:rPr>
  </w:style>
  <w:style w:type="paragraph" w:styleId="Descripcin">
    <w:name w:val="caption"/>
    <w:basedOn w:val="Normal"/>
    <w:next w:val="Normal"/>
    <w:uiPriority w:val="35"/>
    <w:unhideWhenUsed/>
    <w:qFormat/>
    <w:rsid w:val="00FF73A2"/>
    <w:pPr>
      <w:spacing w:before="120" w:after="200" w:line="240" w:lineRule="auto"/>
      <w:ind w:firstLine="284"/>
      <w:jc w:val="center"/>
    </w:pPr>
    <w:rPr>
      <w:rFonts w:ascii="Helvetica" w:eastAsia="Calibri" w:hAnsi="Helvetica" w:cs="Times New Roman"/>
      <w:i/>
      <w:iCs/>
      <w:color w:val="595959" w:themeColor="text1" w:themeTint="A6"/>
      <w:kern w:val="0"/>
      <w:sz w:val="18"/>
      <w:szCs w:val="18"/>
      <w14:ligatures w14:val="none"/>
    </w:rPr>
  </w:style>
  <w:style w:type="paragraph" w:styleId="Encabezado">
    <w:name w:val="header"/>
    <w:basedOn w:val="Normal"/>
    <w:link w:val="EncabezadoCar"/>
    <w:uiPriority w:val="99"/>
    <w:unhideWhenUsed/>
    <w:rsid w:val="00FF73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73A2"/>
    <w:rPr>
      <w:kern w:val="2"/>
      <w14:ligatures w14:val="standardContextual"/>
    </w:rPr>
  </w:style>
  <w:style w:type="paragraph" w:styleId="Piedepgina">
    <w:name w:val="footer"/>
    <w:basedOn w:val="Normal"/>
    <w:link w:val="PiedepginaCar"/>
    <w:uiPriority w:val="99"/>
    <w:unhideWhenUsed/>
    <w:rsid w:val="00FF73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73A2"/>
    <w:rPr>
      <w:kern w:val="2"/>
      <w14:ligatures w14:val="standardContextual"/>
    </w:rPr>
  </w:style>
  <w:style w:type="paragraph" w:styleId="Lista">
    <w:name w:val="List"/>
    <w:basedOn w:val="Normal"/>
    <w:uiPriority w:val="99"/>
    <w:unhideWhenUsed/>
    <w:rsid w:val="00F920CD"/>
    <w:pPr>
      <w:spacing w:after="0" w:line="240" w:lineRule="auto"/>
      <w:ind w:left="283" w:hanging="283"/>
      <w:contextualSpacing/>
    </w:pPr>
    <w:rPr>
      <w:rFonts w:ascii="Arial" w:eastAsia="Times New Roman" w:hAnsi="Arial" w:cs="Times New Roman"/>
      <w:kern w:val="0"/>
      <w:sz w:val="26"/>
      <w:szCs w:val="20"/>
      <w:lang w:val="es-ES" w:eastAsia="es-ES"/>
      <w14:ligatures w14:val="none"/>
    </w:rPr>
  </w:style>
  <w:style w:type="paragraph" w:styleId="Textodeglobo">
    <w:name w:val="Balloon Text"/>
    <w:basedOn w:val="Normal"/>
    <w:link w:val="TextodegloboCar"/>
    <w:uiPriority w:val="99"/>
    <w:semiHidden/>
    <w:unhideWhenUsed/>
    <w:rsid w:val="00E27A6D"/>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27A6D"/>
    <w:rPr>
      <w:rFonts w:ascii="Segoe UI" w:hAnsi="Segoe UI" w:cs="Segoe UI"/>
      <w:kern w:val="2"/>
      <w:sz w:val="18"/>
      <w:szCs w:val="18"/>
      <w14:ligatures w14:val="standardContextual"/>
    </w:rPr>
  </w:style>
  <w:style w:type="paragraph" w:customStyle="1" w:styleId="Ttulo51">
    <w:name w:val="Título 51"/>
    <w:basedOn w:val="Normal"/>
    <w:next w:val="Normal"/>
    <w:uiPriority w:val="9"/>
    <w:semiHidden/>
    <w:unhideWhenUsed/>
    <w:qFormat/>
    <w:rsid w:val="007723FA"/>
    <w:pPr>
      <w:keepNext/>
      <w:keepLines/>
      <w:spacing w:before="80" w:after="40"/>
      <w:outlineLvl w:val="4"/>
    </w:pPr>
    <w:rPr>
      <w:rFonts w:eastAsia="Times New Roman" w:cs="Times New Roman"/>
      <w:color w:val="0F4761"/>
    </w:rPr>
  </w:style>
  <w:style w:type="paragraph" w:customStyle="1" w:styleId="Ttulo61">
    <w:name w:val="Título 61"/>
    <w:basedOn w:val="Normal"/>
    <w:next w:val="Normal"/>
    <w:uiPriority w:val="9"/>
    <w:semiHidden/>
    <w:unhideWhenUsed/>
    <w:qFormat/>
    <w:rsid w:val="007723FA"/>
    <w:pPr>
      <w:keepNext/>
      <w:keepLines/>
      <w:spacing w:before="40" w:after="0"/>
      <w:outlineLvl w:val="5"/>
    </w:pPr>
    <w:rPr>
      <w:rFonts w:eastAsia="Times New Roman" w:cs="Times New Roman"/>
      <w:i/>
      <w:iCs/>
      <w:color w:val="595959"/>
    </w:rPr>
  </w:style>
  <w:style w:type="paragraph" w:customStyle="1" w:styleId="Ttulo71">
    <w:name w:val="Título 71"/>
    <w:basedOn w:val="Normal"/>
    <w:next w:val="Normal"/>
    <w:uiPriority w:val="9"/>
    <w:semiHidden/>
    <w:unhideWhenUsed/>
    <w:qFormat/>
    <w:rsid w:val="007723FA"/>
    <w:pPr>
      <w:keepNext/>
      <w:keepLines/>
      <w:spacing w:before="40" w:after="0"/>
      <w:outlineLvl w:val="6"/>
    </w:pPr>
    <w:rPr>
      <w:rFonts w:eastAsia="Times New Roman" w:cs="Times New Roman"/>
      <w:color w:val="595959"/>
    </w:rPr>
  </w:style>
  <w:style w:type="paragraph" w:customStyle="1" w:styleId="Ttulo81">
    <w:name w:val="Título 81"/>
    <w:basedOn w:val="Normal"/>
    <w:next w:val="Normal"/>
    <w:uiPriority w:val="9"/>
    <w:semiHidden/>
    <w:unhideWhenUsed/>
    <w:qFormat/>
    <w:rsid w:val="007723FA"/>
    <w:pPr>
      <w:keepNext/>
      <w:keepLines/>
      <w:spacing w:after="0"/>
      <w:outlineLvl w:val="7"/>
    </w:pPr>
    <w:rPr>
      <w:rFonts w:eastAsia="Times New Roman" w:cs="Times New Roman"/>
      <w:i/>
      <w:iCs/>
      <w:color w:val="272727"/>
    </w:rPr>
  </w:style>
  <w:style w:type="paragraph" w:customStyle="1" w:styleId="Ttulo91">
    <w:name w:val="Título 91"/>
    <w:basedOn w:val="Normal"/>
    <w:next w:val="Normal"/>
    <w:uiPriority w:val="9"/>
    <w:semiHidden/>
    <w:unhideWhenUsed/>
    <w:qFormat/>
    <w:rsid w:val="007723FA"/>
    <w:pPr>
      <w:keepNext/>
      <w:keepLines/>
      <w:spacing w:after="0"/>
      <w:outlineLvl w:val="8"/>
    </w:pPr>
    <w:rPr>
      <w:rFonts w:eastAsia="Times New Roman" w:cs="Times New Roman"/>
      <w:color w:val="272727"/>
    </w:rPr>
  </w:style>
  <w:style w:type="character" w:customStyle="1" w:styleId="Ttulo5Car">
    <w:name w:val="Título 5 Car"/>
    <w:basedOn w:val="Fuentedeprrafopredeter"/>
    <w:link w:val="Ttulo5"/>
    <w:uiPriority w:val="9"/>
    <w:semiHidden/>
    <w:rsid w:val="007723FA"/>
    <w:rPr>
      <w:rFonts w:eastAsia="Times New Roman" w:cs="Times New Roman"/>
      <w:color w:val="0F4761"/>
    </w:rPr>
  </w:style>
  <w:style w:type="character" w:customStyle="1" w:styleId="Ttulo6Car">
    <w:name w:val="Título 6 Car"/>
    <w:basedOn w:val="Fuentedeprrafopredeter"/>
    <w:link w:val="Ttulo6"/>
    <w:uiPriority w:val="9"/>
    <w:semiHidden/>
    <w:rsid w:val="007723FA"/>
    <w:rPr>
      <w:rFonts w:eastAsia="Times New Roman" w:cs="Times New Roman"/>
      <w:i/>
      <w:iCs/>
      <w:color w:val="595959"/>
    </w:rPr>
  </w:style>
  <w:style w:type="character" w:customStyle="1" w:styleId="Ttulo7Car">
    <w:name w:val="Título 7 Car"/>
    <w:basedOn w:val="Fuentedeprrafopredeter"/>
    <w:link w:val="Ttulo7"/>
    <w:uiPriority w:val="9"/>
    <w:semiHidden/>
    <w:rsid w:val="007723FA"/>
    <w:rPr>
      <w:rFonts w:eastAsia="Times New Roman" w:cs="Times New Roman"/>
      <w:color w:val="595959"/>
    </w:rPr>
  </w:style>
  <w:style w:type="character" w:customStyle="1" w:styleId="Ttulo8Car">
    <w:name w:val="Título 8 Car"/>
    <w:basedOn w:val="Fuentedeprrafopredeter"/>
    <w:link w:val="Ttulo8"/>
    <w:uiPriority w:val="9"/>
    <w:semiHidden/>
    <w:rsid w:val="007723FA"/>
    <w:rPr>
      <w:rFonts w:eastAsia="Times New Roman" w:cs="Times New Roman"/>
      <w:i/>
      <w:iCs/>
      <w:color w:val="272727"/>
    </w:rPr>
  </w:style>
  <w:style w:type="character" w:customStyle="1" w:styleId="Ttulo9Car">
    <w:name w:val="Título 9 Car"/>
    <w:basedOn w:val="Fuentedeprrafopredeter"/>
    <w:link w:val="Ttulo9"/>
    <w:uiPriority w:val="9"/>
    <w:semiHidden/>
    <w:rsid w:val="007723FA"/>
    <w:rPr>
      <w:rFonts w:eastAsia="Times New Roman" w:cs="Times New Roman"/>
      <w:color w:val="272727"/>
    </w:rPr>
  </w:style>
  <w:style w:type="paragraph" w:customStyle="1" w:styleId="Ttulo10">
    <w:name w:val="Título1"/>
    <w:basedOn w:val="Normal"/>
    <w:next w:val="Normal"/>
    <w:uiPriority w:val="10"/>
    <w:qFormat/>
    <w:rsid w:val="007723FA"/>
    <w:pPr>
      <w:spacing w:after="80" w:line="240" w:lineRule="auto"/>
      <w:contextualSpacing/>
    </w:pPr>
    <w:rPr>
      <w:rFonts w:ascii="Aptos Display" w:eastAsia="Times New Roman" w:hAnsi="Aptos Display" w:cs="Times New Roman"/>
      <w:spacing w:val="-10"/>
      <w:kern w:val="28"/>
      <w:sz w:val="56"/>
      <w:szCs w:val="56"/>
    </w:rPr>
  </w:style>
  <w:style w:type="character" w:customStyle="1" w:styleId="TtuloCar">
    <w:name w:val="Título Car"/>
    <w:basedOn w:val="Fuentedeprrafopredeter"/>
    <w:link w:val="Ttulo"/>
    <w:uiPriority w:val="10"/>
    <w:rsid w:val="007723FA"/>
    <w:rPr>
      <w:rFonts w:ascii="Aptos Display" w:eastAsia="Times New Roman" w:hAnsi="Aptos Display" w:cs="Times New Roman"/>
      <w:spacing w:val="-10"/>
      <w:kern w:val="28"/>
      <w:sz w:val="56"/>
      <w:szCs w:val="56"/>
    </w:rPr>
  </w:style>
  <w:style w:type="paragraph" w:customStyle="1" w:styleId="Subttulo1">
    <w:name w:val="Subtítulo1"/>
    <w:basedOn w:val="Normal"/>
    <w:next w:val="Normal"/>
    <w:uiPriority w:val="11"/>
    <w:qFormat/>
    <w:rsid w:val="007723FA"/>
    <w:pPr>
      <w:numPr>
        <w:ilvl w:val="1"/>
      </w:numPr>
    </w:pPr>
    <w:rPr>
      <w:rFonts w:eastAsia="Times New Roman" w:cs="Times New Roman"/>
      <w:color w:val="595959"/>
      <w:spacing w:val="15"/>
      <w:sz w:val="28"/>
      <w:szCs w:val="28"/>
    </w:rPr>
  </w:style>
  <w:style w:type="character" w:customStyle="1" w:styleId="SubttuloCar">
    <w:name w:val="Subtítulo Car"/>
    <w:basedOn w:val="Fuentedeprrafopredeter"/>
    <w:link w:val="Subttulo"/>
    <w:uiPriority w:val="11"/>
    <w:rsid w:val="007723FA"/>
    <w:rPr>
      <w:rFonts w:eastAsia="Times New Roman" w:cs="Times New Roman"/>
      <w:color w:val="595959"/>
      <w:spacing w:val="15"/>
      <w:sz w:val="28"/>
      <w:szCs w:val="28"/>
    </w:rPr>
  </w:style>
  <w:style w:type="paragraph" w:customStyle="1" w:styleId="Cita1">
    <w:name w:val="Cita1"/>
    <w:basedOn w:val="Normal"/>
    <w:next w:val="Normal"/>
    <w:uiPriority w:val="29"/>
    <w:qFormat/>
    <w:rsid w:val="007723FA"/>
    <w:pPr>
      <w:spacing w:before="160"/>
      <w:jc w:val="center"/>
    </w:pPr>
    <w:rPr>
      <w:i/>
      <w:iCs/>
      <w:color w:val="404040"/>
    </w:rPr>
  </w:style>
  <w:style w:type="character" w:customStyle="1" w:styleId="CitaCar">
    <w:name w:val="Cita Car"/>
    <w:basedOn w:val="Fuentedeprrafopredeter"/>
    <w:link w:val="Cita"/>
    <w:uiPriority w:val="29"/>
    <w:rsid w:val="007723FA"/>
    <w:rPr>
      <w:i/>
      <w:iCs/>
      <w:color w:val="404040"/>
    </w:rPr>
  </w:style>
  <w:style w:type="character" w:customStyle="1" w:styleId="nfasisintenso1">
    <w:name w:val="Énfasis intenso1"/>
    <w:basedOn w:val="Fuentedeprrafopredeter"/>
    <w:uiPriority w:val="21"/>
    <w:qFormat/>
    <w:rsid w:val="007723FA"/>
    <w:rPr>
      <w:i/>
      <w:iCs/>
      <w:color w:val="0F4761"/>
    </w:rPr>
  </w:style>
  <w:style w:type="paragraph" w:customStyle="1" w:styleId="Citadestacada1">
    <w:name w:val="Cita destacada1"/>
    <w:basedOn w:val="Normal"/>
    <w:next w:val="Normal"/>
    <w:uiPriority w:val="30"/>
    <w:qFormat/>
    <w:rsid w:val="007723FA"/>
    <w:pPr>
      <w:pBdr>
        <w:top w:val="single" w:sz="4" w:space="10" w:color="0F4761"/>
        <w:bottom w:val="single" w:sz="4" w:space="10" w:color="0F4761"/>
      </w:pBdr>
      <w:spacing w:before="360" w:after="360"/>
      <w:ind w:left="864" w:right="864"/>
      <w:jc w:val="center"/>
    </w:pPr>
    <w:rPr>
      <w:i/>
      <w:iCs/>
      <w:color w:val="0F4761"/>
    </w:rPr>
  </w:style>
  <w:style w:type="character" w:customStyle="1" w:styleId="CitadestacadaCar">
    <w:name w:val="Cita destacada Car"/>
    <w:basedOn w:val="Fuentedeprrafopredeter"/>
    <w:link w:val="Citadestacada"/>
    <w:uiPriority w:val="30"/>
    <w:rsid w:val="007723FA"/>
    <w:rPr>
      <w:i/>
      <w:iCs/>
      <w:color w:val="0F4761"/>
    </w:rPr>
  </w:style>
  <w:style w:type="character" w:customStyle="1" w:styleId="Referenciaintensa1">
    <w:name w:val="Referencia intensa1"/>
    <w:basedOn w:val="Fuentedeprrafopredeter"/>
    <w:uiPriority w:val="32"/>
    <w:qFormat/>
    <w:rsid w:val="007723FA"/>
    <w:rPr>
      <w:b/>
      <w:bCs/>
      <w:smallCaps/>
      <w:color w:val="0F4761"/>
      <w:spacing w:val="5"/>
    </w:rPr>
  </w:style>
  <w:style w:type="character" w:customStyle="1" w:styleId="Ttulo5Car1">
    <w:name w:val="Título 5 Car1"/>
    <w:basedOn w:val="Fuentedeprrafopredeter"/>
    <w:uiPriority w:val="9"/>
    <w:semiHidden/>
    <w:rsid w:val="007723FA"/>
    <w:rPr>
      <w:rFonts w:asciiTheme="majorHAnsi" w:eastAsiaTheme="majorEastAsia" w:hAnsiTheme="majorHAnsi" w:cstheme="majorBidi"/>
      <w:color w:val="2F5496" w:themeColor="accent1" w:themeShade="BF"/>
      <w:kern w:val="2"/>
      <w14:ligatures w14:val="standardContextual"/>
    </w:rPr>
  </w:style>
  <w:style w:type="character" w:customStyle="1" w:styleId="Ttulo6Car1">
    <w:name w:val="Título 6 Car1"/>
    <w:basedOn w:val="Fuentedeprrafopredeter"/>
    <w:uiPriority w:val="9"/>
    <w:semiHidden/>
    <w:rsid w:val="007723FA"/>
    <w:rPr>
      <w:rFonts w:asciiTheme="majorHAnsi" w:eastAsiaTheme="majorEastAsia" w:hAnsiTheme="majorHAnsi" w:cstheme="majorBidi"/>
      <w:color w:val="1F3763" w:themeColor="accent1" w:themeShade="7F"/>
      <w:kern w:val="2"/>
      <w14:ligatures w14:val="standardContextual"/>
    </w:rPr>
  </w:style>
  <w:style w:type="character" w:customStyle="1" w:styleId="Ttulo7Car1">
    <w:name w:val="Título 7 Car1"/>
    <w:basedOn w:val="Fuentedeprrafopredeter"/>
    <w:uiPriority w:val="9"/>
    <w:semiHidden/>
    <w:rsid w:val="007723FA"/>
    <w:rPr>
      <w:rFonts w:asciiTheme="majorHAnsi" w:eastAsiaTheme="majorEastAsia" w:hAnsiTheme="majorHAnsi" w:cstheme="majorBidi"/>
      <w:i/>
      <w:iCs/>
      <w:color w:val="1F3763" w:themeColor="accent1" w:themeShade="7F"/>
      <w:kern w:val="2"/>
      <w14:ligatures w14:val="standardContextual"/>
    </w:rPr>
  </w:style>
  <w:style w:type="character" w:customStyle="1" w:styleId="Ttulo8Car1">
    <w:name w:val="Título 8 Car1"/>
    <w:basedOn w:val="Fuentedeprrafopredeter"/>
    <w:uiPriority w:val="9"/>
    <w:semiHidden/>
    <w:rsid w:val="007723FA"/>
    <w:rPr>
      <w:rFonts w:asciiTheme="majorHAnsi" w:eastAsiaTheme="majorEastAsia" w:hAnsiTheme="majorHAnsi" w:cstheme="majorBidi"/>
      <w:color w:val="272727" w:themeColor="text1" w:themeTint="D8"/>
      <w:kern w:val="2"/>
      <w:sz w:val="21"/>
      <w:szCs w:val="21"/>
      <w14:ligatures w14:val="standardContextual"/>
    </w:rPr>
  </w:style>
  <w:style w:type="character" w:customStyle="1" w:styleId="Ttulo9Car1">
    <w:name w:val="Título 9 Car1"/>
    <w:basedOn w:val="Fuentedeprrafopredeter"/>
    <w:uiPriority w:val="9"/>
    <w:semiHidden/>
    <w:rsid w:val="007723FA"/>
    <w:rPr>
      <w:rFonts w:asciiTheme="majorHAnsi" w:eastAsiaTheme="majorEastAsia" w:hAnsiTheme="majorHAnsi" w:cstheme="majorBidi"/>
      <w:i/>
      <w:iCs/>
      <w:color w:val="272727" w:themeColor="text1" w:themeTint="D8"/>
      <w:kern w:val="2"/>
      <w:sz w:val="21"/>
      <w:szCs w:val="21"/>
      <w14:ligatures w14:val="standardContextual"/>
    </w:rPr>
  </w:style>
  <w:style w:type="paragraph" w:styleId="Ttulo">
    <w:name w:val="Title"/>
    <w:basedOn w:val="Normal"/>
    <w:next w:val="Normal"/>
    <w:link w:val="TtuloCar"/>
    <w:uiPriority w:val="10"/>
    <w:qFormat/>
    <w:rsid w:val="007723FA"/>
    <w:pPr>
      <w:spacing w:after="0" w:line="240" w:lineRule="auto"/>
      <w:contextualSpacing/>
    </w:pPr>
    <w:rPr>
      <w:rFonts w:ascii="Aptos Display" w:eastAsia="Times New Roman" w:hAnsi="Aptos Display" w:cs="Times New Roman"/>
      <w:spacing w:val="-10"/>
      <w:kern w:val="28"/>
      <w:sz w:val="56"/>
      <w:szCs w:val="56"/>
      <w14:ligatures w14:val="none"/>
    </w:rPr>
  </w:style>
  <w:style w:type="character" w:customStyle="1" w:styleId="TtuloCar1">
    <w:name w:val="Título Car1"/>
    <w:basedOn w:val="Fuentedeprrafopredeter"/>
    <w:uiPriority w:val="10"/>
    <w:rsid w:val="007723FA"/>
    <w:rPr>
      <w:rFonts w:asciiTheme="majorHAnsi" w:eastAsiaTheme="majorEastAsia" w:hAnsiTheme="majorHAnsi" w:cstheme="majorBidi"/>
      <w:spacing w:val="-10"/>
      <w:kern w:val="28"/>
      <w:sz w:val="56"/>
      <w:szCs w:val="56"/>
      <w14:ligatures w14:val="standardContextual"/>
    </w:rPr>
  </w:style>
  <w:style w:type="paragraph" w:styleId="Subttulo">
    <w:name w:val="Subtitle"/>
    <w:basedOn w:val="Normal"/>
    <w:next w:val="Normal"/>
    <w:link w:val="SubttuloCar"/>
    <w:uiPriority w:val="11"/>
    <w:qFormat/>
    <w:rsid w:val="007723FA"/>
    <w:pPr>
      <w:numPr>
        <w:ilvl w:val="1"/>
      </w:numPr>
    </w:pPr>
    <w:rPr>
      <w:rFonts w:eastAsia="Times New Roman" w:cs="Times New Roman"/>
      <w:color w:val="595959"/>
      <w:spacing w:val="15"/>
      <w:kern w:val="0"/>
      <w:sz w:val="28"/>
      <w:szCs w:val="28"/>
      <w14:ligatures w14:val="none"/>
    </w:rPr>
  </w:style>
  <w:style w:type="character" w:customStyle="1" w:styleId="SubttuloCar1">
    <w:name w:val="Subtítulo Car1"/>
    <w:basedOn w:val="Fuentedeprrafopredeter"/>
    <w:uiPriority w:val="11"/>
    <w:rsid w:val="007723FA"/>
    <w:rPr>
      <w:rFonts w:eastAsiaTheme="minorEastAsia"/>
      <w:color w:val="5A5A5A" w:themeColor="text1" w:themeTint="A5"/>
      <w:spacing w:val="15"/>
      <w:kern w:val="2"/>
      <w14:ligatures w14:val="standardContextual"/>
    </w:rPr>
  </w:style>
  <w:style w:type="paragraph" w:styleId="Cita">
    <w:name w:val="Quote"/>
    <w:basedOn w:val="Normal"/>
    <w:next w:val="Normal"/>
    <w:link w:val="CitaCar"/>
    <w:uiPriority w:val="29"/>
    <w:qFormat/>
    <w:rsid w:val="007723FA"/>
    <w:pPr>
      <w:spacing w:before="200"/>
      <w:ind w:left="864" w:right="864"/>
      <w:jc w:val="center"/>
    </w:pPr>
    <w:rPr>
      <w:i/>
      <w:iCs/>
      <w:color w:val="404040"/>
      <w:kern w:val="0"/>
      <w14:ligatures w14:val="none"/>
    </w:rPr>
  </w:style>
  <w:style w:type="character" w:customStyle="1" w:styleId="CitaCar1">
    <w:name w:val="Cita Car1"/>
    <w:basedOn w:val="Fuentedeprrafopredeter"/>
    <w:uiPriority w:val="29"/>
    <w:rsid w:val="007723FA"/>
    <w:rPr>
      <w:i/>
      <w:iCs/>
      <w:color w:val="404040" w:themeColor="text1" w:themeTint="BF"/>
      <w:kern w:val="2"/>
      <w14:ligatures w14:val="standardContextual"/>
    </w:rPr>
  </w:style>
  <w:style w:type="character" w:styleId="nfasisintenso">
    <w:name w:val="Intense Emphasis"/>
    <w:basedOn w:val="Fuentedeprrafopredeter"/>
    <w:uiPriority w:val="21"/>
    <w:qFormat/>
    <w:rsid w:val="007723FA"/>
    <w:rPr>
      <w:i/>
      <w:iCs/>
      <w:color w:val="4472C4" w:themeColor="accent1"/>
    </w:rPr>
  </w:style>
  <w:style w:type="paragraph" w:styleId="Citadestacada">
    <w:name w:val="Intense Quote"/>
    <w:basedOn w:val="Normal"/>
    <w:next w:val="Normal"/>
    <w:link w:val="CitadestacadaCar"/>
    <w:uiPriority w:val="30"/>
    <w:qFormat/>
    <w:rsid w:val="007723FA"/>
    <w:pPr>
      <w:pBdr>
        <w:top w:val="single" w:sz="4" w:space="10" w:color="4472C4" w:themeColor="accent1"/>
        <w:bottom w:val="single" w:sz="4" w:space="10" w:color="4472C4" w:themeColor="accent1"/>
      </w:pBdr>
      <w:spacing w:before="360" w:after="360"/>
      <w:ind w:left="864" w:right="864"/>
      <w:jc w:val="center"/>
    </w:pPr>
    <w:rPr>
      <w:i/>
      <w:iCs/>
      <w:color w:val="0F4761"/>
      <w:kern w:val="0"/>
      <w14:ligatures w14:val="none"/>
    </w:rPr>
  </w:style>
  <w:style w:type="character" w:customStyle="1" w:styleId="CitadestacadaCar1">
    <w:name w:val="Cita destacada Car1"/>
    <w:basedOn w:val="Fuentedeprrafopredeter"/>
    <w:uiPriority w:val="30"/>
    <w:rsid w:val="007723FA"/>
    <w:rPr>
      <w:i/>
      <w:iCs/>
      <w:color w:val="4472C4" w:themeColor="accent1"/>
      <w:kern w:val="2"/>
      <w14:ligatures w14:val="standardContextual"/>
    </w:rPr>
  </w:style>
  <w:style w:type="character" w:styleId="Referenciaintensa">
    <w:name w:val="Intense Reference"/>
    <w:basedOn w:val="Fuentedeprrafopredeter"/>
    <w:uiPriority w:val="32"/>
    <w:qFormat/>
    <w:rsid w:val="007723FA"/>
    <w:rPr>
      <w:b/>
      <w:bCs/>
      <w:smallCaps/>
      <w:color w:val="4472C4" w:themeColor="accent1"/>
      <w:spacing w:val="5"/>
    </w:rPr>
  </w:style>
  <w:style w:type="paragraph" w:styleId="NormalWeb">
    <w:name w:val="Normal (Web)"/>
    <w:basedOn w:val="Normal"/>
    <w:uiPriority w:val="99"/>
    <w:semiHidden/>
    <w:unhideWhenUsed/>
    <w:rsid w:val="00C84CB2"/>
    <w:rPr>
      <w:rFonts w:ascii="Times New Roman" w:hAnsi="Times New Roman" w:cs="Times New Roman"/>
      <w:kern w:val="0"/>
      <w:sz w:val="24"/>
      <w:szCs w:val="24"/>
      <w14:ligatures w14:val="none"/>
    </w:rPr>
  </w:style>
  <w:style w:type="character" w:customStyle="1" w:styleId="MapasCar">
    <w:name w:val="Mapas Car"/>
    <w:basedOn w:val="Fuentedeprrafopredeter"/>
    <w:link w:val="Mapas"/>
    <w:locked/>
    <w:rsid w:val="00D417C2"/>
    <w:rPr>
      <w:sz w:val="20"/>
    </w:rPr>
  </w:style>
  <w:style w:type="paragraph" w:customStyle="1" w:styleId="Mapas">
    <w:name w:val="Mapas"/>
    <w:basedOn w:val="Normal"/>
    <w:link w:val="MapasCar"/>
    <w:qFormat/>
    <w:rsid w:val="00D417C2"/>
    <w:pPr>
      <w:spacing w:before="240" w:after="120" w:line="240" w:lineRule="auto"/>
      <w:jc w:val="center"/>
    </w:pPr>
    <w:rPr>
      <w:kern w:val="0"/>
      <w:sz w:val="20"/>
      <w14:ligatures w14:val="none"/>
    </w:rPr>
  </w:style>
  <w:style w:type="character" w:customStyle="1" w:styleId="FuenteCar">
    <w:name w:val="Fuente Car"/>
    <w:basedOn w:val="Fuentedeprrafopredeter"/>
    <w:link w:val="Fuente"/>
    <w:locked/>
    <w:rsid w:val="00D417C2"/>
    <w:rPr>
      <w:rFonts w:ascii="Calibri" w:hAnsi="Calibri" w:cs="Calibri"/>
      <w:sz w:val="20"/>
    </w:rPr>
  </w:style>
  <w:style w:type="paragraph" w:customStyle="1" w:styleId="Fuente">
    <w:name w:val="Fuente"/>
    <w:basedOn w:val="Normal"/>
    <w:link w:val="FuenteCar"/>
    <w:rsid w:val="00D417C2"/>
    <w:pPr>
      <w:spacing w:after="0" w:line="240" w:lineRule="auto"/>
      <w:jc w:val="center"/>
    </w:pPr>
    <w:rPr>
      <w:rFonts w:ascii="Calibri" w:hAnsi="Calibri" w:cs="Calibri"/>
      <w:kern w:val="0"/>
      <w:sz w:val="20"/>
      <w14:ligatures w14:val="none"/>
    </w:rPr>
  </w:style>
  <w:style w:type="character" w:styleId="Referenciasutil">
    <w:name w:val="Subtle Reference"/>
    <w:aliases w:val="Fuentes"/>
    <w:basedOn w:val="Fuentedeprrafopredeter"/>
    <w:uiPriority w:val="31"/>
    <w:qFormat/>
    <w:rsid w:val="00D417C2"/>
    <w:rPr>
      <w:sz w:val="20"/>
    </w:rPr>
  </w:style>
  <w:style w:type="character" w:customStyle="1" w:styleId="GrficoCar">
    <w:name w:val="Gráfico Car"/>
    <w:basedOn w:val="Fuentedeprrafopredeter"/>
    <w:link w:val="Grfico"/>
    <w:locked/>
    <w:rsid w:val="00D417C2"/>
    <w:rPr>
      <w:sz w:val="20"/>
    </w:rPr>
  </w:style>
  <w:style w:type="paragraph" w:customStyle="1" w:styleId="Grfico">
    <w:name w:val="Gráfico"/>
    <w:basedOn w:val="Normal"/>
    <w:link w:val="GrficoCar"/>
    <w:qFormat/>
    <w:rsid w:val="00D417C2"/>
    <w:pPr>
      <w:spacing w:before="120" w:after="120" w:line="240" w:lineRule="auto"/>
      <w:jc w:val="center"/>
    </w:pPr>
    <w:rPr>
      <w:kern w:val="0"/>
      <w:sz w:val="20"/>
      <w14:ligatures w14:val="none"/>
    </w:rPr>
  </w:style>
  <w:style w:type="paragraph" w:customStyle="1" w:styleId="Textonotapie1">
    <w:name w:val="Texto nota pie1"/>
    <w:aliases w:val="Car,Car Car Car Car Car Car Car Car,Car Car Car Car Car Car Car Car Car,Car Car Car Car Car Car,Car Car Car Car Car Car Car Car Car  Car Car,Car Car Car Car Car Car Car Car Car  Car Car Car Car Car Car Car Car Car Car Car Car Car"/>
    <w:basedOn w:val="Normal"/>
    <w:uiPriority w:val="99"/>
    <w:rsid w:val="00C31C81"/>
    <w:pPr>
      <w:spacing w:after="240" w:line="276" w:lineRule="auto"/>
    </w:pPr>
    <w:rPr>
      <w:rFonts w:ascii="Arial" w:eastAsia="Arial" w:hAnsi="Arial" w:cs="Arial"/>
      <w:kern w:val="0"/>
      <w:sz w:val="20"/>
      <w:szCs w:val="20"/>
      <w14:ligatures w14:val="none"/>
    </w:rPr>
  </w:style>
  <w:style w:type="paragraph" w:customStyle="1" w:styleId="Arial10">
    <w:name w:val="Arial 10"/>
    <w:basedOn w:val="Normal"/>
    <w:link w:val="Arial10Car"/>
    <w:qFormat/>
    <w:rsid w:val="005F14AE"/>
    <w:pPr>
      <w:spacing w:after="0" w:line="240" w:lineRule="auto"/>
      <w:jc w:val="center"/>
    </w:pPr>
    <w:rPr>
      <w:rFonts w:ascii="Arial" w:hAnsi="Arial" w:cs="Arial"/>
      <w:kern w:val="0"/>
      <w:sz w:val="20"/>
      <w:szCs w:val="24"/>
      <w14:ligatures w14:val="none"/>
    </w:rPr>
  </w:style>
  <w:style w:type="character" w:customStyle="1" w:styleId="Arial10Car">
    <w:name w:val="Arial 10 Car"/>
    <w:basedOn w:val="Fuentedeprrafopredeter"/>
    <w:link w:val="Arial10"/>
    <w:rsid w:val="005F14AE"/>
    <w:rPr>
      <w:rFonts w:ascii="Arial" w:hAnsi="Arial" w:cs="Arial"/>
      <w:sz w:val="20"/>
      <w:szCs w:val="24"/>
    </w:rPr>
  </w:style>
  <w:style w:type="paragraph" w:customStyle="1" w:styleId="fuente0">
    <w:name w:val="fuente"/>
    <w:basedOn w:val="Arial10"/>
    <w:link w:val="fuenteCar0"/>
    <w:qFormat/>
    <w:rsid w:val="005F14AE"/>
    <w:pPr>
      <w:spacing w:line="480" w:lineRule="auto"/>
    </w:pPr>
    <w:rPr>
      <w:lang w:eastAsia="es-MX"/>
    </w:rPr>
  </w:style>
  <w:style w:type="character" w:customStyle="1" w:styleId="fuenteCar0">
    <w:name w:val="fuente Car"/>
    <w:basedOn w:val="Arial10Car"/>
    <w:link w:val="fuente0"/>
    <w:rsid w:val="005F14AE"/>
    <w:rPr>
      <w:rFonts w:ascii="Arial" w:hAnsi="Arial" w:cs="Arial"/>
      <w:sz w:val="20"/>
      <w:szCs w:val="24"/>
      <w:lang w:eastAsia="es-MX"/>
    </w:rPr>
  </w:style>
  <w:style w:type="table" w:styleId="Tablaconcuadrcula">
    <w:name w:val="Table Grid"/>
    <w:basedOn w:val="Tablanormal"/>
    <w:uiPriority w:val="39"/>
    <w:rsid w:val="006424ED"/>
    <w:pPr>
      <w:spacing w:after="0" w:line="240" w:lineRule="auto"/>
    </w:pPr>
    <w:rPr>
      <w:lang w:val="es-419"/>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359722">
      <w:bodyDiv w:val="1"/>
      <w:marLeft w:val="0"/>
      <w:marRight w:val="0"/>
      <w:marTop w:val="0"/>
      <w:marBottom w:val="0"/>
      <w:divBdr>
        <w:top w:val="none" w:sz="0" w:space="0" w:color="auto"/>
        <w:left w:val="none" w:sz="0" w:space="0" w:color="auto"/>
        <w:bottom w:val="none" w:sz="0" w:space="0" w:color="auto"/>
        <w:right w:val="none" w:sz="0" w:space="0" w:color="auto"/>
      </w:divBdr>
    </w:div>
    <w:div w:id="413092162">
      <w:bodyDiv w:val="1"/>
      <w:marLeft w:val="0"/>
      <w:marRight w:val="0"/>
      <w:marTop w:val="0"/>
      <w:marBottom w:val="0"/>
      <w:divBdr>
        <w:top w:val="none" w:sz="0" w:space="0" w:color="auto"/>
        <w:left w:val="none" w:sz="0" w:space="0" w:color="auto"/>
        <w:bottom w:val="none" w:sz="0" w:space="0" w:color="auto"/>
        <w:right w:val="none" w:sz="0" w:space="0" w:color="auto"/>
      </w:divBdr>
    </w:div>
    <w:div w:id="542596690">
      <w:bodyDiv w:val="1"/>
      <w:marLeft w:val="0"/>
      <w:marRight w:val="0"/>
      <w:marTop w:val="0"/>
      <w:marBottom w:val="0"/>
      <w:divBdr>
        <w:top w:val="none" w:sz="0" w:space="0" w:color="auto"/>
        <w:left w:val="none" w:sz="0" w:space="0" w:color="auto"/>
        <w:bottom w:val="none" w:sz="0" w:space="0" w:color="auto"/>
        <w:right w:val="none" w:sz="0" w:space="0" w:color="auto"/>
      </w:divBdr>
    </w:div>
    <w:div w:id="652374968">
      <w:bodyDiv w:val="1"/>
      <w:marLeft w:val="0"/>
      <w:marRight w:val="0"/>
      <w:marTop w:val="0"/>
      <w:marBottom w:val="0"/>
      <w:divBdr>
        <w:top w:val="none" w:sz="0" w:space="0" w:color="auto"/>
        <w:left w:val="none" w:sz="0" w:space="0" w:color="auto"/>
        <w:bottom w:val="none" w:sz="0" w:space="0" w:color="auto"/>
        <w:right w:val="none" w:sz="0" w:space="0" w:color="auto"/>
      </w:divBdr>
    </w:div>
    <w:div w:id="935165805">
      <w:bodyDiv w:val="1"/>
      <w:marLeft w:val="0"/>
      <w:marRight w:val="0"/>
      <w:marTop w:val="0"/>
      <w:marBottom w:val="0"/>
      <w:divBdr>
        <w:top w:val="none" w:sz="0" w:space="0" w:color="auto"/>
        <w:left w:val="none" w:sz="0" w:space="0" w:color="auto"/>
        <w:bottom w:val="none" w:sz="0" w:space="0" w:color="auto"/>
        <w:right w:val="none" w:sz="0" w:space="0" w:color="auto"/>
      </w:divBdr>
    </w:div>
    <w:div w:id="1023899706">
      <w:bodyDiv w:val="1"/>
      <w:marLeft w:val="0"/>
      <w:marRight w:val="0"/>
      <w:marTop w:val="0"/>
      <w:marBottom w:val="0"/>
      <w:divBdr>
        <w:top w:val="none" w:sz="0" w:space="0" w:color="auto"/>
        <w:left w:val="none" w:sz="0" w:space="0" w:color="auto"/>
        <w:bottom w:val="none" w:sz="0" w:space="0" w:color="auto"/>
        <w:right w:val="none" w:sz="0" w:space="0" w:color="auto"/>
      </w:divBdr>
    </w:div>
    <w:div w:id="1364288121">
      <w:bodyDiv w:val="1"/>
      <w:marLeft w:val="0"/>
      <w:marRight w:val="0"/>
      <w:marTop w:val="0"/>
      <w:marBottom w:val="0"/>
      <w:divBdr>
        <w:top w:val="none" w:sz="0" w:space="0" w:color="auto"/>
        <w:left w:val="none" w:sz="0" w:space="0" w:color="auto"/>
        <w:bottom w:val="none" w:sz="0" w:space="0" w:color="auto"/>
        <w:right w:val="none" w:sz="0" w:space="0" w:color="auto"/>
      </w:divBdr>
    </w:div>
    <w:div w:id="1614049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file:///C:\lquiroz\AppData\Local\Microsoft\Windows\Temporary%20Internet%20Files\Content.Outlook\HBGSO9P3\MODELO%20CTA%202013.pptx" TargetMode="External"/><Relationship Id="rId13" Type="http://schemas.openxmlformats.org/officeDocument/2006/relationships/chart" Target="charts/chart5.xml"/><Relationship Id="rId18" Type="http://schemas.openxmlformats.org/officeDocument/2006/relationships/image" Target="media/image2.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1.emf"/><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theme" Target="theme/theme1.xml"/><Relationship Id="rId10" Type="http://schemas.openxmlformats.org/officeDocument/2006/relationships/chart" Target="charts/chart2.xml"/><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embeddings/oleObject2.bin"/></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3.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4.bin"/></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1.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2.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Hoja1!$B$4</c:f>
              <c:strCache>
                <c:ptCount val="1"/>
                <c:pt idx="0">
                  <c:v>Producto mundial</c:v>
                </c:pt>
              </c:strCache>
            </c:strRef>
          </c:tx>
          <c:spPr>
            <a:ln w="28575" cap="rnd">
              <a:solidFill>
                <a:schemeClr val="accent1"/>
              </a:solidFill>
              <a:round/>
            </a:ln>
            <a:effectLst/>
          </c:spPr>
          <c:marker>
            <c:symbol val="none"/>
          </c:marker>
          <c:dLbls>
            <c:spPr>
              <a:solidFill>
                <a:schemeClr val="bg1"/>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Hoja1!$C$3:$E$3</c:f>
              <c:numCache>
                <c:formatCode>General</c:formatCode>
                <c:ptCount val="3"/>
                <c:pt idx="0">
                  <c:v>2025</c:v>
                </c:pt>
                <c:pt idx="1">
                  <c:v>2026</c:v>
                </c:pt>
                <c:pt idx="2">
                  <c:v>2027</c:v>
                </c:pt>
              </c:numCache>
            </c:numRef>
          </c:cat>
          <c:val>
            <c:numRef>
              <c:f>Hoja1!$C$4:$E$4</c:f>
              <c:numCache>
                <c:formatCode>General</c:formatCode>
                <c:ptCount val="3"/>
                <c:pt idx="0">
                  <c:v>3.4</c:v>
                </c:pt>
                <c:pt idx="1">
                  <c:v>3.1</c:v>
                </c:pt>
                <c:pt idx="2">
                  <c:v>3.2</c:v>
                </c:pt>
              </c:numCache>
            </c:numRef>
          </c:val>
          <c:smooth val="0"/>
          <c:extLst>
            <c:ext xmlns:c16="http://schemas.microsoft.com/office/drawing/2014/chart" uri="{C3380CC4-5D6E-409C-BE32-E72D297353CC}">
              <c16:uniqueId val="{00000000-4E20-4F4D-B8BE-8EDB9FB1A923}"/>
            </c:ext>
          </c:extLst>
        </c:ser>
        <c:ser>
          <c:idx val="1"/>
          <c:order val="1"/>
          <c:tx>
            <c:strRef>
              <c:f>Hoja1!$B$5</c:f>
              <c:strCache>
                <c:ptCount val="1"/>
                <c:pt idx="0">
                  <c:v>Economías avanzadas</c:v>
                </c:pt>
              </c:strCache>
            </c:strRef>
          </c:tx>
          <c:spPr>
            <a:ln w="22225" cap="rnd">
              <a:solidFill>
                <a:srgbClr val="C00000"/>
              </a:solidFill>
              <a:round/>
            </a:ln>
            <a:effectLst/>
          </c:spPr>
          <c:marker>
            <c:symbol val="none"/>
          </c:marker>
          <c:dLbls>
            <c:spPr>
              <a:solidFill>
                <a:schemeClr val="bg1"/>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Hoja1!$C$3:$E$3</c:f>
              <c:numCache>
                <c:formatCode>General</c:formatCode>
                <c:ptCount val="3"/>
                <c:pt idx="0">
                  <c:v>2025</c:v>
                </c:pt>
                <c:pt idx="1">
                  <c:v>2026</c:v>
                </c:pt>
                <c:pt idx="2">
                  <c:v>2027</c:v>
                </c:pt>
              </c:numCache>
            </c:numRef>
          </c:cat>
          <c:val>
            <c:numRef>
              <c:f>Hoja1!$C$5:$E$5</c:f>
              <c:numCache>
                <c:formatCode>General</c:formatCode>
                <c:ptCount val="3"/>
                <c:pt idx="0">
                  <c:v>1.9</c:v>
                </c:pt>
                <c:pt idx="1">
                  <c:v>1.8</c:v>
                </c:pt>
                <c:pt idx="2">
                  <c:v>1.7</c:v>
                </c:pt>
              </c:numCache>
            </c:numRef>
          </c:val>
          <c:smooth val="0"/>
          <c:extLst>
            <c:ext xmlns:c16="http://schemas.microsoft.com/office/drawing/2014/chart" uri="{C3380CC4-5D6E-409C-BE32-E72D297353CC}">
              <c16:uniqueId val="{00000001-4E20-4F4D-B8BE-8EDB9FB1A923}"/>
            </c:ext>
          </c:extLst>
        </c:ser>
        <c:ser>
          <c:idx val="2"/>
          <c:order val="2"/>
          <c:tx>
            <c:strRef>
              <c:f>Hoja1!$B$16</c:f>
              <c:strCache>
                <c:ptCount val="1"/>
                <c:pt idx="0">
                  <c:v>Economías de mercados emergentes y en desarrollo</c:v>
                </c:pt>
              </c:strCache>
            </c:strRef>
          </c:tx>
          <c:spPr>
            <a:ln w="22225" cap="rnd">
              <a:solidFill>
                <a:schemeClr val="bg2">
                  <a:lumMod val="50000"/>
                </a:schemeClr>
              </a:solidFill>
              <a:round/>
            </a:ln>
            <a:effectLst/>
          </c:spPr>
          <c:marker>
            <c:symbol val="none"/>
          </c:marker>
          <c:dLbls>
            <c:spPr>
              <a:solidFill>
                <a:schemeClr val="bg1"/>
              </a:solid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Hoja1!$C$3:$E$3</c:f>
              <c:numCache>
                <c:formatCode>General</c:formatCode>
                <c:ptCount val="3"/>
                <c:pt idx="0">
                  <c:v>2025</c:v>
                </c:pt>
                <c:pt idx="1">
                  <c:v>2026</c:v>
                </c:pt>
                <c:pt idx="2">
                  <c:v>2027</c:v>
                </c:pt>
              </c:numCache>
            </c:numRef>
          </c:cat>
          <c:val>
            <c:numRef>
              <c:f>Hoja1!$C$16:$E$16</c:f>
              <c:numCache>
                <c:formatCode>General</c:formatCode>
                <c:ptCount val="3"/>
                <c:pt idx="0">
                  <c:v>4.4000000000000004</c:v>
                </c:pt>
                <c:pt idx="1">
                  <c:v>3.9</c:v>
                </c:pt>
                <c:pt idx="2">
                  <c:v>4.2</c:v>
                </c:pt>
              </c:numCache>
            </c:numRef>
          </c:val>
          <c:smooth val="0"/>
          <c:extLst>
            <c:ext xmlns:c16="http://schemas.microsoft.com/office/drawing/2014/chart" uri="{C3380CC4-5D6E-409C-BE32-E72D297353CC}">
              <c16:uniqueId val="{00000002-4E20-4F4D-B8BE-8EDB9FB1A923}"/>
            </c:ext>
          </c:extLst>
        </c:ser>
        <c:dLbls>
          <c:showLegendKey val="0"/>
          <c:showVal val="1"/>
          <c:showCatName val="0"/>
          <c:showSerName val="0"/>
          <c:showPercent val="0"/>
          <c:showBubbleSize val="0"/>
        </c:dLbls>
        <c:smooth val="0"/>
        <c:axId val="2007366928"/>
        <c:axId val="1968813488"/>
      </c:lineChart>
      <c:catAx>
        <c:axId val="2007366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1968813488"/>
        <c:crosses val="autoZero"/>
        <c:auto val="1"/>
        <c:lblAlgn val="ctr"/>
        <c:lblOffset val="100"/>
        <c:noMultiLvlLbl val="0"/>
      </c:catAx>
      <c:valAx>
        <c:axId val="196881348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007366928"/>
        <c:crosses val="autoZero"/>
        <c:crossBetween val="between"/>
        <c:majorUnit val="1"/>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800">
          <a:solidFill>
            <a:sysClr val="windowText" lastClr="000000"/>
          </a:solidFill>
          <a:latin typeface="Arial" panose="020B0604020202020204" pitchFamily="34" charset="0"/>
          <a:cs typeface="Arial" panose="020B0604020202020204" pitchFamily="34" charset="0"/>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Hoja2!$D$3</c:f>
              <c:strCache>
                <c:ptCount val="1"/>
                <c:pt idx="0">
                  <c:v>Millones de pesos a precios de 2018</c:v>
                </c:pt>
              </c:strCache>
            </c:strRef>
          </c:tx>
          <c:spPr>
            <a:solidFill>
              <a:schemeClr val="accent4">
                <a:lumMod val="75000"/>
              </a:schemeClr>
            </a:solidFill>
            <a:ln>
              <a:noFill/>
            </a:ln>
            <a:effectLst/>
          </c:spPr>
          <c:invertIfNegative val="0"/>
          <c:cat>
            <c:strRef>
              <c:f>Hoja2!$C$4:$C$11</c:f>
              <c:strCache>
                <c:ptCount val="8"/>
                <c:pt idx="0">
                  <c:v>2024 1T</c:v>
                </c:pt>
                <c:pt idx="1">
                  <c:v>2024 2T</c:v>
                </c:pt>
                <c:pt idx="2">
                  <c:v>2024 3T</c:v>
                </c:pt>
                <c:pt idx="3">
                  <c:v>2024 4T</c:v>
                </c:pt>
                <c:pt idx="4">
                  <c:v>2025 1T</c:v>
                </c:pt>
                <c:pt idx="5">
                  <c:v>2025 2T</c:v>
                </c:pt>
                <c:pt idx="6">
                  <c:v>2025 3T</c:v>
                </c:pt>
                <c:pt idx="7">
                  <c:v>2025 4T</c:v>
                </c:pt>
              </c:strCache>
            </c:strRef>
          </c:cat>
          <c:val>
            <c:numRef>
              <c:f>Hoja2!$D$4:$D$11</c:f>
              <c:numCache>
                <c:formatCode>#,##0.00</c:formatCode>
                <c:ptCount val="8"/>
                <c:pt idx="0">
                  <c:v>24743029.899999999</c:v>
                </c:pt>
                <c:pt idx="1">
                  <c:v>25625594.199999999</c:v>
                </c:pt>
                <c:pt idx="2">
                  <c:v>25442016</c:v>
                </c:pt>
                <c:pt idx="3">
                  <c:v>25650242.600000001</c:v>
                </c:pt>
                <c:pt idx="4">
                  <c:v>24882362.699999999</c:v>
                </c:pt>
                <c:pt idx="5">
                  <c:v>25611244</c:v>
                </c:pt>
                <c:pt idx="6">
                  <c:v>25428708.199999999</c:v>
                </c:pt>
                <c:pt idx="7">
                  <c:v>26108456.699999999</c:v>
                </c:pt>
              </c:numCache>
            </c:numRef>
          </c:val>
          <c:extLst>
            <c:ext xmlns:c16="http://schemas.microsoft.com/office/drawing/2014/chart" uri="{C3380CC4-5D6E-409C-BE32-E72D297353CC}">
              <c16:uniqueId val="{00000000-3BA4-42BE-AB58-8B104DB0878E}"/>
            </c:ext>
          </c:extLst>
        </c:ser>
        <c:dLbls>
          <c:showLegendKey val="0"/>
          <c:showVal val="0"/>
          <c:showCatName val="0"/>
          <c:showSerName val="0"/>
          <c:showPercent val="0"/>
          <c:showBubbleSize val="0"/>
        </c:dLbls>
        <c:gapWidth val="219"/>
        <c:overlap val="-27"/>
        <c:axId val="2036357967"/>
        <c:axId val="2037821839"/>
      </c:barChart>
      <c:catAx>
        <c:axId val="203635796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1"/>
          <a:lstStyle/>
          <a:p>
            <a:pPr>
              <a:defRPr sz="900" b="0" i="0" u="none" strike="noStrike" kern="1200" baseline="0">
                <a:solidFill>
                  <a:sysClr val="windowText" lastClr="000000"/>
                </a:solidFill>
                <a:latin typeface="+mn-lt"/>
                <a:ea typeface="+mn-ea"/>
                <a:cs typeface="+mn-cs"/>
              </a:defRPr>
            </a:pPr>
            <a:endParaRPr lang="es-MX"/>
          </a:p>
        </c:txPr>
        <c:crossAx val="2037821839"/>
        <c:crosses val="autoZero"/>
        <c:auto val="1"/>
        <c:lblAlgn val="ctr"/>
        <c:lblOffset val="100"/>
        <c:noMultiLvlLbl val="0"/>
      </c:catAx>
      <c:valAx>
        <c:axId val="203782183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2036357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MX"/>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Hoja4!$B$10</c:f>
              <c:strCache>
                <c:ptCount val="1"/>
                <c:pt idx="0">
                  <c:v>Actividades Primarias</c:v>
                </c:pt>
              </c:strCache>
            </c:strRef>
          </c:tx>
          <c:spPr>
            <a:solidFill>
              <a:srgbClr val="C00000"/>
            </a:solidFill>
            <a:ln>
              <a:noFill/>
            </a:ln>
            <a:effectLst/>
          </c:spPr>
          <c:invertIfNegative val="0"/>
          <c:cat>
            <c:multiLvlStrRef>
              <c:f>Hoja4!$C$7:$N$8</c:f>
              <c:multiLvlStrCache>
                <c:ptCount val="12"/>
                <c:lvl>
                  <c:pt idx="0">
                    <c:v>1T</c:v>
                  </c:pt>
                  <c:pt idx="1">
                    <c:v>2T</c:v>
                  </c:pt>
                  <c:pt idx="2">
                    <c:v>3T</c:v>
                  </c:pt>
                  <c:pt idx="3">
                    <c:v>4T</c:v>
                  </c:pt>
                  <c:pt idx="4">
                    <c:v>1T</c:v>
                  </c:pt>
                  <c:pt idx="5">
                    <c:v>2T</c:v>
                  </c:pt>
                  <c:pt idx="6">
                    <c:v>3T</c:v>
                  </c:pt>
                  <c:pt idx="7">
                    <c:v>4T</c:v>
                  </c:pt>
                  <c:pt idx="8">
                    <c:v>1T</c:v>
                  </c:pt>
                  <c:pt idx="9">
                    <c:v>2T</c:v>
                  </c:pt>
                  <c:pt idx="10">
                    <c:v>3T</c:v>
                  </c:pt>
                  <c:pt idx="11">
                    <c:v>4T</c:v>
                  </c:pt>
                </c:lvl>
                <c:lvl>
                  <c:pt idx="0">
                    <c:v>2023</c:v>
                  </c:pt>
                  <c:pt idx="4">
                    <c:v>2024</c:v>
                  </c:pt>
                  <c:pt idx="8">
                    <c:v>2025</c:v>
                  </c:pt>
                </c:lvl>
              </c:multiLvlStrCache>
            </c:multiLvlStrRef>
          </c:cat>
          <c:val>
            <c:numRef>
              <c:f>Hoja4!$C$10:$N$10</c:f>
              <c:numCache>
                <c:formatCode>General</c:formatCode>
                <c:ptCount val="12"/>
                <c:pt idx="0">
                  <c:v>0.9</c:v>
                </c:pt>
                <c:pt idx="1">
                  <c:v>0</c:v>
                </c:pt>
                <c:pt idx="2">
                  <c:v>-0.3</c:v>
                </c:pt>
                <c:pt idx="3">
                  <c:v>-4</c:v>
                </c:pt>
                <c:pt idx="4">
                  <c:v>-1.1000000000000001</c:v>
                </c:pt>
                <c:pt idx="5">
                  <c:v>0.5</c:v>
                </c:pt>
                <c:pt idx="6">
                  <c:v>6.1</c:v>
                </c:pt>
                <c:pt idx="7">
                  <c:v>-2.8</c:v>
                </c:pt>
                <c:pt idx="8">
                  <c:v>3.6</c:v>
                </c:pt>
                <c:pt idx="9">
                  <c:v>2.2999999999999998</c:v>
                </c:pt>
                <c:pt idx="10">
                  <c:v>2.6</c:v>
                </c:pt>
                <c:pt idx="11">
                  <c:v>7.8</c:v>
                </c:pt>
              </c:numCache>
            </c:numRef>
          </c:val>
          <c:extLst>
            <c:ext xmlns:c16="http://schemas.microsoft.com/office/drawing/2014/chart" uri="{C3380CC4-5D6E-409C-BE32-E72D297353CC}">
              <c16:uniqueId val="{00000000-5854-413F-9046-87C68D1246A7}"/>
            </c:ext>
          </c:extLst>
        </c:ser>
        <c:ser>
          <c:idx val="2"/>
          <c:order val="2"/>
          <c:tx>
            <c:strRef>
              <c:f>Hoja4!$B$11</c:f>
              <c:strCache>
                <c:ptCount val="1"/>
                <c:pt idx="0">
                  <c:v>Actividades Secundarias</c:v>
                </c:pt>
              </c:strCache>
            </c:strRef>
          </c:tx>
          <c:spPr>
            <a:solidFill>
              <a:schemeClr val="accent3"/>
            </a:solidFill>
            <a:ln>
              <a:noFill/>
            </a:ln>
            <a:effectLst/>
          </c:spPr>
          <c:invertIfNegative val="0"/>
          <c:cat>
            <c:multiLvlStrRef>
              <c:f>Hoja4!$C$7:$N$8</c:f>
              <c:multiLvlStrCache>
                <c:ptCount val="12"/>
                <c:lvl>
                  <c:pt idx="0">
                    <c:v>1T</c:v>
                  </c:pt>
                  <c:pt idx="1">
                    <c:v>2T</c:v>
                  </c:pt>
                  <c:pt idx="2">
                    <c:v>3T</c:v>
                  </c:pt>
                  <c:pt idx="3">
                    <c:v>4T</c:v>
                  </c:pt>
                  <c:pt idx="4">
                    <c:v>1T</c:v>
                  </c:pt>
                  <c:pt idx="5">
                    <c:v>2T</c:v>
                  </c:pt>
                  <c:pt idx="6">
                    <c:v>3T</c:v>
                  </c:pt>
                  <c:pt idx="7">
                    <c:v>4T</c:v>
                  </c:pt>
                  <c:pt idx="8">
                    <c:v>1T</c:v>
                  </c:pt>
                  <c:pt idx="9">
                    <c:v>2T</c:v>
                  </c:pt>
                  <c:pt idx="10">
                    <c:v>3T</c:v>
                  </c:pt>
                  <c:pt idx="11">
                    <c:v>4T</c:v>
                  </c:pt>
                </c:lvl>
                <c:lvl>
                  <c:pt idx="0">
                    <c:v>2023</c:v>
                  </c:pt>
                  <c:pt idx="4">
                    <c:v>2024</c:v>
                  </c:pt>
                  <c:pt idx="8">
                    <c:v>2025</c:v>
                  </c:pt>
                </c:lvl>
              </c:multiLvlStrCache>
            </c:multiLvlStrRef>
          </c:cat>
          <c:val>
            <c:numRef>
              <c:f>Hoja4!$C$11:$N$11</c:f>
              <c:numCache>
                <c:formatCode>General</c:formatCode>
                <c:ptCount val="12"/>
                <c:pt idx="0">
                  <c:v>3.1</c:v>
                </c:pt>
                <c:pt idx="1">
                  <c:v>3</c:v>
                </c:pt>
                <c:pt idx="2">
                  <c:v>3.3</c:v>
                </c:pt>
                <c:pt idx="3">
                  <c:v>2.5</c:v>
                </c:pt>
                <c:pt idx="4">
                  <c:v>0.9</c:v>
                </c:pt>
                <c:pt idx="5">
                  <c:v>-0.6</c:v>
                </c:pt>
                <c:pt idx="6">
                  <c:v>-0.3</c:v>
                </c:pt>
                <c:pt idx="7">
                  <c:v>-2.4</c:v>
                </c:pt>
                <c:pt idx="8">
                  <c:v>-1.5</c:v>
                </c:pt>
                <c:pt idx="9">
                  <c:v>-0.5</c:v>
                </c:pt>
                <c:pt idx="10">
                  <c:v>-2.6</c:v>
                </c:pt>
                <c:pt idx="11">
                  <c:v>0.3</c:v>
                </c:pt>
              </c:numCache>
            </c:numRef>
          </c:val>
          <c:extLst>
            <c:ext xmlns:c16="http://schemas.microsoft.com/office/drawing/2014/chart" uri="{C3380CC4-5D6E-409C-BE32-E72D297353CC}">
              <c16:uniqueId val="{00000001-5854-413F-9046-87C68D1246A7}"/>
            </c:ext>
          </c:extLst>
        </c:ser>
        <c:ser>
          <c:idx val="3"/>
          <c:order val="3"/>
          <c:tx>
            <c:strRef>
              <c:f>Hoja4!$B$12</c:f>
              <c:strCache>
                <c:ptCount val="1"/>
                <c:pt idx="0">
                  <c:v>Actividades Terciarias</c:v>
                </c:pt>
              </c:strCache>
            </c:strRef>
          </c:tx>
          <c:spPr>
            <a:solidFill>
              <a:schemeClr val="accent4">
                <a:lumMod val="75000"/>
              </a:schemeClr>
            </a:solidFill>
            <a:ln>
              <a:noFill/>
            </a:ln>
            <a:effectLst/>
          </c:spPr>
          <c:invertIfNegative val="0"/>
          <c:cat>
            <c:multiLvlStrRef>
              <c:f>Hoja4!$C$7:$N$8</c:f>
              <c:multiLvlStrCache>
                <c:ptCount val="12"/>
                <c:lvl>
                  <c:pt idx="0">
                    <c:v>1T</c:v>
                  </c:pt>
                  <c:pt idx="1">
                    <c:v>2T</c:v>
                  </c:pt>
                  <c:pt idx="2">
                    <c:v>3T</c:v>
                  </c:pt>
                  <c:pt idx="3">
                    <c:v>4T</c:v>
                  </c:pt>
                  <c:pt idx="4">
                    <c:v>1T</c:v>
                  </c:pt>
                  <c:pt idx="5">
                    <c:v>2T</c:v>
                  </c:pt>
                  <c:pt idx="6">
                    <c:v>3T</c:v>
                  </c:pt>
                  <c:pt idx="7">
                    <c:v>4T</c:v>
                  </c:pt>
                  <c:pt idx="8">
                    <c:v>1T</c:v>
                  </c:pt>
                  <c:pt idx="9">
                    <c:v>2T</c:v>
                  </c:pt>
                  <c:pt idx="10">
                    <c:v>3T</c:v>
                  </c:pt>
                  <c:pt idx="11">
                    <c:v>4T</c:v>
                  </c:pt>
                </c:lvl>
                <c:lvl>
                  <c:pt idx="0">
                    <c:v>2023</c:v>
                  </c:pt>
                  <c:pt idx="4">
                    <c:v>2024</c:v>
                  </c:pt>
                  <c:pt idx="8">
                    <c:v>2025</c:v>
                  </c:pt>
                </c:lvl>
              </c:multiLvlStrCache>
            </c:multiLvlStrRef>
          </c:cat>
          <c:val>
            <c:numRef>
              <c:f>Hoja4!$C$12:$N$12</c:f>
              <c:numCache>
                <c:formatCode>General</c:formatCode>
                <c:ptCount val="12"/>
                <c:pt idx="0">
                  <c:v>4</c:v>
                </c:pt>
                <c:pt idx="1">
                  <c:v>3.6</c:v>
                </c:pt>
                <c:pt idx="2">
                  <c:v>3.3</c:v>
                </c:pt>
                <c:pt idx="3">
                  <c:v>2.4</c:v>
                </c:pt>
                <c:pt idx="4">
                  <c:v>2.8</c:v>
                </c:pt>
                <c:pt idx="5">
                  <c:v>2</c:v>
                </c:pt>
                <c:pt idx="6">
                  <c:v>2</c:v>
                </c:pt>
                <c:pt idx="7">
                  <c:v>1.8</c:v>
                </c:pt>
                <c:pt idx="8">
                  <c:v>1.1000000000000001</c:v>
                </c:pt>
                <c:pt idx="9">
                  <c:v>1.6</c:v>
                </c:pt>
                <c:pt idx="10">
                  <c:v>1.1000000000000001</c:v>
                </c:pt>
                <c:pt idx="11">
                  <c:v>2.1</c:v>
                </c:pt>
              </c:numCache>
            </c:numRef>
          </c:val>
          <c:extLst>
            <c:ext xmlns:c16="http://schemas.microsoft.com/office/drawing/2014/chart" uri="{C3380CC4-5D6E-409C-BE32-E72D297353CC}">
              <c16:uniqueId val="{00000002-5854-413F-9046-87C68D1246A7}"/>
            </c:ext>
          </c:extLst>
        </c:ser>
        <c:dLbls>
          <c:showLegendKey val="0"/>
          <c:showVal val="0"/>
          <c:showCatName val="0"/>
          <c:showSerName val="0"/>
          <c:showPercent val="0"/>
          <c:showBubbleSize val="0"/>
        </c:dLbls>
        <c:gapWidth val="150"/>
        <c:axId val="2134970911"/>
        <c:axId val="2035224831"/>
      </c:barChart>
      <c:lineChart>
        <c:grouping val="standard"/>
        <c:varyColors val="0"/>
        <c:ser>
          <c:idx val="0"/>
          <c:order val="0"/>
          <c:tx>
            <c:strRef>
              <c:f>Hoja4!$B$9</c:f>
              <c:strCache>
                <c:ptCount val="1"/>
                <c:pt idx="0">
                  <c:v>Producto Interno Bruto</c:v>
                </c:pt>
              </c:strCache>
            </c:strRef>
          </c:tx>
          <c:spPr>
            <a:ln w="15875" cap="rnd">
              <a:solidFill>
                <a:schemeClr val="accent1"/>
              </a:solidFill>
              <a:prstDash val="lgDash"/>
              <a:round/>
            </a:ln>
            <a:effectLst/>
          </c:spPr>
          <c:marker>
            <c:symbol val="none"/>
          </c:marker>
          <c:cat>
            <c:multiLvlStrRef>
              <c:f>Hoja4!$C$7:$N$8</c:f>
              <c:multiLvlStrCache>
                <c:ptCount val="12"/>
                <c:lvl>
                  <c:pt idx="0">
                    <c:v>1T</c:v>
                  </c:pt>
                  <c:pt idx="1">
                    <c:v>2T</c:v>
                  </c:pt>
                  <c:pt idx="2">
                    <c:v>3T</c:v>
                  </c:pt>
                  <c:pt idx="3">
                    <c:v>4T</c:v>
                  </c:pt>
                  <c:pt idx="4">
                    <c:v>1T</c:v>
                  </c:pt>
                  <c:pt idx="5">
                    <c:v>2T</c:v>
                  </c:pt>
                  <c:pt idx="6">
                    <c:v>3T</c:v>
                  </c:pt>
                  <c:pt idx="7">
                    <c:v>4T</c:v>
                  </c:pt>
                  <c:pt idx="8">
                    <c:v>1T</c:v>
                  </c:pt>
                  <c:pt idx="9">
                    <c:v>2T</c:v>
                  </c:pt>
                  <c:pt idx="10">
                    <c:v>3T</c:v>
                  </c:pt>
                  <c:pt idx="11">
                    <c:v>4T</c:v>
                  </c:pt>
                </c:lvl>
                <c:lvl>
                  <c:pt idx="0">
                    <c:v>2023</c:v>
                  </c:pt>
                  <c:pt idx="4">
                    <c:v>2024</c:v>
                  </c:pt>
                  <c:pt idx="8">
                    <c:v>2025</c:v>
                  </c:pt>
                </c:lvl>
              </c:multiLvlStrCache>
            </c:multiLvlStrRef>
          </c:cat>
          <c:val>
            <c:numRef>
              <c:f>Hoja4!$C$9:$N$9</c:f>
              <c:numCache>
                <c:formatCode>General</c:formatCode>
                <c:ptCount val="12"/>
                <c:pt idx="0">
                  <c:v>3.8</c:v>
                </c:pt>
                <c:pt idx="1">
                  <c:v>3.3</c:v>
                </c:pt>
                <c:pt idx="2">
                  <c:v>3.3</c:v>
                </c:pt>
                <c:pt idx="3">
                  <c:v>2.2000000000000002</c:v>
                </c:pt>
                <c:pt idx="4">
                  <c:v>1.8</c:v>
                </c:pt>
                <c:pt idx="5">
                  <c:v>1</c:v>
                </c:pt>
                <c:pt idx="6">
                  <c:v>1.4</c:v>
                </c:pt>
                <c:pt idx="7">
                  <c:v>0.3</c:v>
                </c:pt>
                <c:pt idx="8">
                  <c:v>0.4</c:v>
                </c:pt>
                <c:pt idx="9">
                  <c:v>1</c:v>
                </c:pt>
                <c:pt idx="10">
                  <c:v>-0.1</c:v>
                </c:pt>
                <c:pt idx="11">
                  <c:v>1.8</c:v>
                </c:pt>
              </c:numCache>
            </c:numRef>
          </c:val>
          <c:smooth val="0"/>
          <c:extLst>
            <c:ext xmlns:c16="http://schemas.microsoft.com/office/drawing/2014/chart" uri="{C3380CC4-5D6E-409C-BE32-E72D297353CC}">
              <c16:uniqueId val="{00000003-5854-413F-9046-87C68D1246A7}"/>
            </c:ext>
          </c:extLst>
        </c:ser>
        <c:dLbls>
          <c:showLegendKey val="0"/>
          <c:showVal val="0"/>
          <c:showCatName val="0"/>
          <c:showSerName val="0"/>
          <c:showPercent val="0"/>
          <c:showBubbleSize val="0"/>
        </c:dLbls>
        <c:marker val="1"/>
        <c:smooth val="0"/>
        <c:axId val="2134970911"/>
        <c:axId val="2035224831"/>
      </c:lineChart>
      <c:catAx>
        <c:axId val="213497091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crossAx val="2035224831"/>
        <c:crosses val="autoZero"/>
        <c:auto val="1"/>
        <c:lblAlgn val="ctr"/>
        <c:lblOffset val="100"/>
        <c:noMultiLvlLbl val="0"/>
      </c:catAx>
      <c:valAx>
        <c:axId val="2035224831"/>
        <c:scaling>
          <c:orientation val="minMax"/>
          <c:max val="8"/>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crossAx val="2134970911"/>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s-MX"/>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000">
          <a:solidFill>
            <a:sysClr val="windowText" lastClr="000000"/>
          </a:solidFill>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Hoja5!$D$9</c:f>
              <c:strCache>
                <c:ptCount val="1"/>
                <c:pt idx="0">
                  <c:v>Variación % respecto a igual trimestre del año anterior</c:v>
                </c:pt>
              </c:strCache>
            </c:strRef>
          </c:tx>
          <c:spPr>
            <a:solidFill>
              <a:schemeClr val="accent4">
                <a:lumMod val="75000"/>
              </a:schemeClr>
            </a:solidFill>
            <a:ln>
              <a:noFill/>
            </a:ln>
            <a:effectLst/>
          </c:spPr>
          <c:invertIfNegative val="0"/>
          <c:dPt>
            <c:idx val="28"/>
            <c:invertIfNegative val="0"/>
            <c:bubble3D val="0"/>
            <c:spPr>
              <a:solidFill>
                <a:srgbClr val="C00000"/>
              </a:solidFill>
              <a:ln>
                <a:noFill/>
              </a:ln>
              <a:effectLst/>
            </c:spPr>
            <c:extLst>
              <c:ext xmlns:c16="http://schemas.microsoft.com/office/drawing/2014/chart" uri="{C3380CC4-5D6E-409C-BE32-E72D297353CC}">
                <c16:uniqueId val="{00000001-861E-4ADB-BB1A-2A3629545AD1}"/>
              </c:ext>
            </c:extLst>
          </c:dPt>
          <c:dLbls>
            <c:dLbl>
              <c:idx val="28"/>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61E-4ADB-BB1A-2A3629545AD1}"/>
                </c:ext>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ysClr val="windowText" lastClr="000000"/>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Hoja5!$C$10:$C$41</c:f>
              <c:strCache>
                <c:ptCount val="32"/>
                <c:pt idx="0">
                  <c:v>Campeche</c:v>
                </c:pt>
                <c:pt idx="1">
                  <c:v>Quintana Roo</c:v>
                </c:pt>
                <c:pt idx="2">
                  <c:v>Oaxaca</c:v>
                </c:pt>
                <c:pt idx="3">
                  <c:v>Tabasco</c:v>
                </c:pt>
                <c:pt idx="4">
                  <c:v>Durango</c:v>
                </c:pt>
                <c:pt idx="5">
                  <c:v>Coahuila </c:v>
                </c:pt>
                <c:pt idx="6">
                  <c:v>Baja California</c:v>
                </c:pt>
                <c:pt idx="7">
                  <c:v>Nuevo León</c:v>
                </c:pt>
                <c:pt idx="8">
                  <c:v>Puebla</c:v>
                </c:pt>
                <c:pt idx="9">
                  <c:v>Veracruz </c:v>
                </c:pt>
                <c:pt idx="10">
                  <c:v>Sinaloa</c:v>
                </c:pt>
                <c:pt idx="11">
                  <c:v>México</c:v>
                </c:pt>
                <c:pt idx="12">
                  <c:v>Querétaro</c:v>
                </c:pt>
                <c:pt idx="13">
                  <c:v>Nayarit</c:v>
                </c:pt>
                <c:pt idx="14">
                  <c:v>Chihuahua</c:v>
                </c:pt>
                <c:pt idx="15">
                  <c:v>Guanajuato</c:v>
                </c:pt>
                <c:pt idx="16">
                  <c:v>Hidalgo</c:v>
                </c:pt>
                <c:pt idx="17">
                  <c:v>Sonora</c:v>
                </c:pt>
                <c:pt idx="18">
                  <c:v>Morelos</c:v>
                </c:pt>
                <c:pt idx="19">
                  <c:v>Ciudad de México</c:v>
                </c:pt>
                <c:pt idx="20">
                  <c:v>Jalisco</c:v>
                </c:pt>
                <c:pt idx="21">
                  <c:v>Michoacán</c:v>
                </c:pt>
                <c:pt idx="22">
                  <c:v>Aguascalientes</c:v>
                </c:pt>
                <c:pt idx="23">
                  <c:v>Zacatecas</c:v>
                </c:pt>
                <c:pt idx="24">
                  <c:v>Yucatán</c:v>
                </c:pt>
                <c:pt idx="25">
                  <c:v>Chiapas</c:v>
                </c:pt>
                <c:pt idx="26">
                  <c:v>Tlaxcala</c:v>
                </c:pt>
                <c:pt idx="27">
                  <c:v>Tamaulipas</c:v>
                </c:pt>
                <c:pt idx="28">
                  <c:v>Guerrero</c:v>
                </c:pt>
                <c:pt idx="29">
                  <c:v>San Luis Potosí</c:v>
                </c:pt>
                <c:pt idx="30">
                  <c:v>Colima</c:v>
                </c:pt>
                <c:pt idx="31">
                  <c:v>Baja California Sur</c:v>
                </c:pt>
              </c:strCache>
            </c:strRef>
          </c:cat>
          <c:val>
            <c:numRef>
              <c:f>Hoja5!$D$10:$D$41</c:f>
              <c:numCache>
                <c:formatCode>General</c:formatCode>
                <c:ptCount val="32"/>
                <c:pt idx="0">
                  <c:v>-11.7</c:v>
                </c:pt>
                <c:pt idx="1">
                  <c:v>-7.3</c:v>
                </c:pt>
                <c:pt idx="2">
                  <c:v>-5.4</c:v>
                </c:pt>
                <c:pt idx="3">
                  <c:v>-4.7</c:v>
                </c:pt>
                <c:pt idx="4">
                  <c:v>-3.8</c:v>
                </c:pt>
                <c:pt idx="5">
                  <c:v>-3</c:v>
                </c:pt>
                <c:pt idx="6">
                  <c:v>-2.2000000000000002</c:v>
                </c:pt>
                <c:pt idx="7">
                  <c:v>-1.4</c:v>
                </c:pt>
                <c:pt idx="8">
                  <c:v>-1.3</c:v>
                </c:pt>
                <c:pt idx="9">
                  <c:v>-1</c:v>
                </c:pt>
                <c:pt idx="10">
                  <c:v>-0.8</c:v>
                </c:pt>
                <c:pt idx="11">
                  <c:v>-0.3</c:v>
                </c:pt>
                <c:pt idx="12">
                  <c:v>-0.3</c:v>
                </c:pt>
                <c:pt idx="13">
                  <c:v>-0.2</c:v>
                </c:pt>
                <c:pt idx="14">
                  <c:v>-0.1</c:v>
                </c:pt>
                <c:pt idx="15">
                  <c:v>0.4</c:v>
                </c:pt>
                <c:pt idx="16">
                  <c:v>0.5</c:v>
                </c:pt>
                <c:pt idx="17">
                  <c:v>0.7</c:v>
                </c:pt>
                <c:pt idx="18">
                  <c:v>0.8</c:v>
                </c:pt>
                <c:pt idx="19">
                  <c:v>1.5</c:v>
                </c:pt>
                <c:pt idx="20">
                  <c:v>1.5</c:v>
                </c:pt>
                <c:pt idx="21">
                  <c:v>1.6</c:v>
                </c:pt>
                <c:pt idx="22">
                  <c:v>2.2000000000000002</c:v>
                </c:pt>
                <c:pt idx="23">
                  <c:v>2.2000000000000002</c:v>
                </c:pt>
                <c:pt idx="24">
                  <c:v>2.2999999999999998</c:v>
                </c:pt>
                <c:pt idx="25">
                  <c:v>2.6</c:v>
                </c:pt>
                <c:pt idx="26">
                  <c:v>2.6</c:v>
                </c:pt>
                <c:pt idx="27">
                  <c:v>3.1</c:v>
                </c:pt>
                <c:pt idx="28">
                  <c:v>3.4</c:v>
                </c:pt>
                <c:pt idx="29">
                  <c:v>3.5</c:v>
                </c:pt>
                <c:pt idx="30">
                  <c:v>3.8</c:v>
                </c:pt>
                <c:pt idx="31">
                  <c:v>4.3</c:v>
                </c:pt>
              </c:numCache>
            </c:numRef>
          </c:val>
          <c:extLst>
            <c:ext xmlns:c16="http://schemas.microsoft.com/office/drawing/2014/chart" uri="{C3380CC4-5D6E-409C-BE32-E72D297353CC}">
              <c16:uniqueId val="{00000002-861E-4ADB-BB1A-2A3629545AD1}"/>
            </c:ext>
          </c:extLst>
        </c:ser>
        <c:dLbls>
          <c:showLegendKey val="0"/>
          <c:showVal val="0"/>
          <c:showCatName val="0"/>
          <c:showSerName val="0"/>
          <c:showPercent val="0"/>
          <c:showBubbleSize val="0"/>
        </c:dLbls>
        <c:gapWidth val="182"/>
        <c:axId val="372123967"/>
        <c:axId val="2124627583"/>
      </c:barChart>
      <c:catAx>
        <c:axId val="372123967"/>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MX"/>
          </a:p>
        </c:txPr>
        <c:crossAx val="2124627583"/>
        <c:crosses val="autoZero"/>
        <c:auto val="1"/>
        <c:lblAlgn val="ctr"/>
        <c:lblOffset val="100"/>
        <c:noMultiLvlLbl val="0"/>
      </c:catAx>
      <c:valAx>
        <c:axId val="2124627583"/>
        <c:scaling>
          <c:orientation val="minMax"/>
          <c:min val="-12"/>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s-MX"/>
          </a:p>
        </c:txPr>
        <c:crossAx val="37212396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es-MX"/>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Gráfica</a:t>
            </a:r>
            <a:r>
              <a:rPr lang="es-MX" baseline="0"/>
              <a:t> 5. Ley de Ingresos 2026 vs Ingresos al 1er trimestre de 2026</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bar"/>
        <c:grouping val="clustered"/>
        <c:varyColors val="0"/>
        <c:ser>
          <c:idx val="0"/>
          <c:order val="0"/>
          <c:spPr>
            <a:solidFill>
              <a:schemeClr val="accent1"/>
            </a:solidFill>
            <a:ln>
              <a:noFill/>
            </a:ln>
            <a:effectLst/>
          </c:spPr>
          <c:invertIfNegative val="0"/>
          <c:dPt>
            <c:idx val="0"/>
            <c:invertIfNegative val="0"/>
            <c:bubble3D val="0"/>
            <c:spPr>
              <a:solidFill>
                <a:srgbClr val="BC955C"/>
              </a:solidFill>
              <a:ln>
                <a:solidFill>
                  <a:srgbClr val="BC955C"/>
                </a:solidFill>
              </a:ln>
              <a:effectLst/>
            </c:spPr>
            <c:extLst>
              <c:ext xmlns:c16="http://schemas.microsoft.com/office/drawing/2014/chart" uri="{C3380CC4-5D6E-409C-BE32-E72D297353CC}">
                <c16:uniqueId val="{00000001-F5CF-43AA-899B-06A1F05DDCA2}"/>
              </c:ext>
            </c:extLst>
          </c:dPt>
          <c:dPt>
            <c:idx val="1"/>
            <c:invertIfNegative val="0"/>
            <c:bubble3D val="0"/>
            <c:spPr>
              <a:solidFill>
                <a:srgbClr val="AB0033"/>
              </a:solidFill>
              <a:ln>
                <a:solidFill>
                  <a:srgbClr val="AB0033"/>
                </a:solidFill>
              </a:ln>
              <a:effectLst/>
            </c:spPr>
            <c:extLst>
              <c:ext xmlns:c16="http://schemas.microsoft.com/office/drawing/2014/chart" uri="{C3380CC4-5D6E-409C-BE32-E72D297353CC}">
                <c16:uniqueId val="{00000003-F5CF-43AA-899B-06A1F05DDCA2}"/>
              </c:ext>
            </c:extLst>
          </c:dPt>
          <c:dLbls>
            <c:dLbl>
              <c:idx val="0"/>
              <c:layout>
                <c:manualLayout>
                  <c:x val="-2.2259321090706732E-2"/>
                  <c:y val="-0.1137979915401199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5CF-43AA-899B-06A1F05DDCA2}"/>
                </c:ext>
              </c:extLst>
            </c:dLbl>
            <c:dLbl>
              <c:idx val="1"/>
              <c:layout>
                <c:manualLayout>
                  <c:x val="-2.003338898163606E-2"/>
                  <c:y val="-0.1327643234634732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5CF-43AA-899B-06A1F05DDCA2}"/>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'Ing.Gestion (2)'!$L$13:$L$14</c:f>
              <c:strCache>
                <c:ptCount val="2"/>
                <c:pt idx="0">
                  <c:v>Ingresos recaudados al 1er trimestre de 2026</c:v>
                </c:pt>
                <c:pt idx="1">
                  <c:v>Ingreso Estimado Ley de Ingresos 2026</c:v>
                </c:pt>
              </c:strCache>
            </c:strRef>
          </c:cat>
          <c:val>
            <c:numRef>
              <c:f>'Ing.Gestion (2)'!$M$13:$M$14</c:f>
              <c:numCache>
                <c:formatCode>#,##0.00</c:formatCode>
                <c:ptCount val="2"/>
                <c:pt idx="0">
                  <c:v>26679556501.920002</c:v>
                </c:pt>
                <c:pt idx="1">
                  <c:v>87394976837.880005</c:v>
                </c:pt>
              </c:numCache>
            </c:numRef>
          </c:val>
          <c:extLst>
            <c:ext xmlns:c16="http://schemas.microsoft.com/office/drawing/2014/chart" uri="{C3380CC4-5D6E-409C-BE32-E72D297353CC}">
              <c16:uniqueId val="{00000004-F5CF-43AA-899B-06A1F05DDCA2}"/>
            </c:ext>
          </c:extLst>
        </c:ser>
        <c:ser>
          <c:idx val="1"/>
          <c:order val="1"/>
          <c:tx>
            <c:strRef>
              <c:f>'Ing.Gestion (2)'!$L$13:$L$14</c:f>
              <c:strCache>
                <c:ptCount val="2"/>
                <c:pt idx="0">
                  <c:v>Ingresos recaudados al 1er trimestre de 2026</c:v>
                </c:pt>
                <c:pt idx="1">
                  <c:v>Ingreso Estimado Ley de Ingresos 2026</c:v>
                </c:pt>
              </c:strCache>
            </c:strRef>
          </c:tx>
          <c:spPr>
            <a:solidFill>
              <a:schemeClr val="accent2"/>
            </a:solidFill>
            <a:ln>
              <a:noFill/>
            </a:ln>
            <a:effectLst/>
          </c:spPr>
          <c:invertIfNegative val="0"/>
          <c:cat>
            <c:strRef>
              <c:f>'Ing.Gestion (2)'!$L$13:$L$14</c:f>
              <c:strCache>
                <c:ptCount val="2"/>
                <c:pt idx="0">
                  <c:v>Ingresos recaudados al 1er trimestre de 2026</c:v>
                </c:pt>
                <c:pt idx="1">
                  <c:v>Ingreso Estimado Ley de Ingresos 2026</c:v>
                </c:pt>
              </c:strCache>
            </c:strRef>
          </c:cat>
          <c:val>
            <c:numRef>
              <c:f>'Ing.Gestion (2)'!$N$13:$N$14</c:f>
              <c:numCache>
                <c:formatCode>0.00%</c:formatCode>
                <c:ptCount val="2"/>
                <c:pt idx="0">
                  <c:v>0.30527562872876879</c:v>
                </c:pt>
                <c:pt idx="1">
                  <c:v>1</c:v>
                </c:pt>
              </c:numCache>
            </c:numRef>
          </c:val>
          <c:extLst>
            <c:ext xmlns:c16="http://schemas.microsoft.com/office/drawing/2014/chart" uri="{C3380CC4-5D6E-409C-BE32-E72D297353CC}">
              <c16:uniqueId val="{00000005-F5CF-43AA-899B-06A1F05DDCA2}"/>
            </c:ext>
          </c:extLst>
        </c:ser>
        <c:dLbls>
          <c:showLegendKey val="0"/>
          <c:showVal val="0"/>
          <c:showCatName val="0"/>
          <c:showSerName val="0"/>
          <c:showPercent val="0"/>
          <c:showBubbleSize val="0"/>
        </c:dLbls>
        <c:gapWidth val="182"/>
        <c:axId val="1086002960"/>
        <c:axId val="1086003440"/>
      </c:barChart>
      <c:catAx>
        <c:axId val="10860029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086003440"/>
        <c:crosses val="autoZero"/>
        <c:auto val="1"/>
        <c:lblAlgn val="ctr"/>
        <c:lblOffset val="100"/>
        <c:noMultiLvlLbl val="0"/>
      </c:catAx>
      <c:valAx>
        <c:axId val="1086003440"/>
        <c:scaling>
          <c:orientation val="minMax"/>
        </c:scaling>
        <c:delete val="1"/>
        <c:axPos val="b"/>
        <c:numFmt formatCode="#,##0.00" sourceLinked="1"/>
        <c:majorTickMark val="none"/>
        <c:minorTickMark val="none"/>
        <c:tickLblPos val="nextTo"/>
        <c:crossAx val="10860029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Gráfica 6. Ingresos de Gestión estimados</a:t>
            </a:r>
            <a:r>
              <a:rPr lang="es-MX" baseline="0"/>
              <a:t> vs Ingresos de Gestión Recaudados al 1er. trimestre de 2026</a:t>
            </a:r>
            <a:endParaRPr lang="es-MX"/>
          </a:p>
        </c:rich>
      </c:tx>
      <c:layout>
        <c:manualLayout>
          <c:xMode val="edge"/>
          <c:yMode val="edge"/>
          <c:x val="0.1761563779973743"/>
          <c:y val="1.2500066087213975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0.18060346184441695"/>
          <c:y val="0.24241666666666667"/>
          <c:w val="0.80643057381198502"/>
          <c:h val="0.63181955380577426"/>
        </c:manualLayout>
      </c:layout>
      <c:barChart>
        <c:barDir val="col"/>
        <c:grouping val="stacked"/>
        <c:varyColors val="0"/>
        <c:ser>
          <c:idx val="1"/>
          <c:order val="0"/>
          <c:spPr>
            <a:solidFill>
              <a:schemeClr val="accent2"/>
            </a:solidFill>
            <a:ln>
              <a:noFill/>
            </a:ln>
            <a:effectLst/>
          </c:spPr>
          <c:invertIfNegative val="0"/>
          <c:dPt>
            <c:idx val="0"/>
            <c:invertIfNegative val="0"/>
            <c:bubble3D val="0"/>
            <c:spPr>
              <a:solidFill>
                <a:srgbClr val="BC955C"/>
              </a:solidFill>
              <a:ln>
                <a:solidFill>
                  <a:srgbClr val="BC955C"/>
                </a:solidFill>
              </a:ln>
              <a:effectLst/>
            </c:spPr>
            <c:extLst>
              <c:ext xmlns:c16="http://schemas.microsoft.com/office/drawing/2014/chart" uri="{C3380CC4-5D6E-409C-BE32-E72D297353CC}">
                <c16:uniqueId val="{00000001-8877-46D5-9EA3-F2E29A35AF41}"/>
              </c:ext>
            </c:extLst>
          </c:dPt>
          <c:dPt>
            <c:idx val="1"/>
            <c:invertIfNegative val="0"/>
            <c:bubble3D val="0"/>
            <c:spPr>
              <a:solidFill>
                <a:srgbClr val="AB0033"/>
              </a:solidFill>
              <a:ln>
                <a:solidFill>
                  <a:srgbClr val="AB0033"/>
                </a:solidFill>
              </a:ln>
              <a:effectLst/>
            </c:spPr>
            <c:extLst>
              <c:ext xmlns:c16="http://schemas.microsoft.com/office/drawing/2014/chart" uri="{C3380CC4-5D6E-409C-BE32-E72D297353CC}">
                <c16:uniqueId val="{00000003-8877-46D5-9EA3-F2E29A35AF41}"/>
              </c:ext>
            </c:extLst>
          </c:dPt>
          <c:dLbls>
            <c:dLbl>
              <c:idx val="0"/>
              <c:layout>
                <c:manualLayout>
                  <c:x val="0"/>
                  <c:y val="-0.3287037037037037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77-46D5-9EA3-F2E29A35AF41}"/>
                </c:ext>
              </c:extLst>
            </c:dLbl>
            <c:dLbl>
              <c:idx val="1"/>
              <c:layout>
                <c:manualLayout>
                  <c:x val="-1.3321069244358794E-16"/>
                  <c:y val="-0.271296259842519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8877-46D5-9EA3-F2E29A35AF4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'Ing.Gestion (2)'!$F$9:$G$9</c:f>
              <c:strCache>
                <c:ptCount val="2"/>
                <c:pt idx="0">
                  <c:v>Ingresos de Gestión Recaudados al 1er trimestre de 2026</c:v>
                </c:pt>
                <c:pt idx="1">
                  <c:v>Ingresos de Gestión Estimados 2026</c:v>
                </c:pt>
              </c:strCache>
            </c:strRef>
          </c:cat>
          <c:val>
            <c:numRef>
              <c:f>'Ing.Gestion (2)'!$F$11:$G$11</c:f>
              <c:numCache>
                <c:formatCode>#,##0.00</c:formatCode>
                <c:ptCount val="2"/>
                <c:pt idx="0">
                  <c:v>1074663011.0599999</c:v>
                </c:pt>
                <c:pt idx="1">
                  <c:v>874107507.84813213</c:v>
                </c:pt>
              </c:numCache>
            </c:numRef>
          </c:val>
          <c:extLst>
            <c:ext xmlns:c16="http://schemas.microsoft.com/office/drawing/2014/chart" uri="{C3380CC4-5D6E-409C-BE32-E72D297353CC}">
              <c16:uniqueId val="{00000004-8877-46D5-9EA3-F2E29A35AF41}"/>
            </c:ext>
          </c:extLst>
        </c:ser>
        <c:ser>
          <c:idx val="0"/>
          <c:order val="1"/>
          <c:spPr>
            <a:solidFill>
              <a:schemeClr val="accent1"/>
            </a:solidFill>
            <a:ln>
              <a:noFill/>
            </a:ln>
            <a:effectLst/>
          </c:spPr>
          <c:invertIfNegative val="0"/>
          <c:cat>
            <c:strRef>
              <c:f>'Ing.Gestion (2)'!$F$9:$G$9</c:f>
              <c:strCache>
                <c:ptCount val="2"/>
                <c:pt idx="0">
                  <c:v>Ingresos de Gestión Recaudados al 1er trimestre de 2026</c:v>
                </c:pt>
                <c:pt idx="1">
                  <c:v>Ingresos de Gestión Estimados 2026</c:v>
                </c:pt>
              </c:strCache>
            </c:strRef>
          </c:cat>
          <c:val>
            <c:numRef>
              <c:f>'Ing.Gestion (2)'!$F$10:$G$10</c:f>
              <c:numCache>
                <c:formatCode>General</c:formatCode>
                <c:ptCount val="2"/>
              </c:numCache>
            </c:numRef>
          </c:val>
          <c:extLst>
            <c:ext xmlns:c16="http://schemas.microsoft.com/office/drawing/2014/chart" uri="{C3380CC4-5D6E-409C-BE32-E72D297353CC}">
              <c16:uniqueId val="{00000005-8877-46D5-9EA3-F2E29A35AF41}"/>
            </c:ext>
          </c:extLst>
        </c:ser>
        <c:dLbls>
          <c:showLegendKey val="0"/>
          <c:showVal val="0"/>
          <c:showCatName val="0"/>
          <c:showSerName val="0"/>
          <c:showPercent val="0"/>
          <c:showBubbleSize val="0"/>
        </c:dLbls>
        <c:gapWidth val="150"/>
        <c:overlap val="100"/>
        <c:axId val="1206524496"/>
        <c:axId val="1206527376"/>
      </c:barChart>
      <c:catAx>
        <c:axId val="1206524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06527376"/>
        <c:crosses val="autoZero"/>
        <c:auto val="1"/>
        <c:lblAlgn val="ctr"/>
        <c:lblOffset val="100"/>
        <c:noMultiLvlLbl val="0"/>
      </c:catAx>
      <c:valAx>
        <c:axId val="1206527376"/>
        <c:scaling>
          <c:orientation val="minMax"/>
        </c:scaling>
        <c:delete val="0"/>
        <c:axPos val="l"/>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12065244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Gráfica 7. Fuentes</a:t>
            </a:r>
            <a:r>
              <a:rPr lang="es-MX" baseline="0"/>
              <a:t> de ingresos recaudados al 1er. trimestre de 2026</a:t>
            </a:r>
            <a:endParaRPr lang="es-MX"/>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spPr>
            <a:solidFill>
              <a:schemeClr val="accent1"/>
            </a:solidFill>
            <a:ln>
              <a:noFill/>
            </a:ln>
            <a:effectLst/>
            <a:sp3d/>
          </c:spPr>
          <c:invertIfNegative val="0"/>
          <c:dPt>
            <c:idx val="0"/>
            <c:invertIfNegative val="0"/>
            <c:bubble3D val="0"/>
            <c:spPr>
              <a:solidFill>
                <a:srgbClr val="AB0033"/>
              </a:solidFill>
              <a:ln>
                <a:noFill/>
              </a:ln>
              <a:effectLst/>
              <a:sp3d/>
            </c:spPr>
            <c:extLst>
              <c:ext xmlns:c16="http://schemas.microsoft.com/office/drawing/2014/chart" uri="{C3380CC4-5D6E-409C-BE32-E72D297353CC}">
                <c16:uniqueId val="{00000001-DF87-4181-AB36-88F71450280A}"/>
              </c:ext>
            </c:extLst>
          </c:dPt>
          <c:dPt>
            <c:idx val="1"/>
            <c:invertIfNegative val="0"/>
            <c:bubble3D val="0"/>
            <c:spPr>
              <a:solidFill>
                <a:srgbClr val="BC955C"/>
              </a:solidFill>
              <a:ln>
                <a:noFill/>
              </a:ln>
              <a:effectLst/>
              <a:sp3d/>
            </c:spPr>
            <c:extLst>
              <c:ext xmlns:c16="http://schemas.microsoft.com/office/drawing/2014/chart" uri="{C3380CC4-5D6E-409C-BE32-E72D297353CC}">
                <c16:uniqueId val="{00000003-DF87-4181-AB36-88F71450280A}"/>
              </c:ext>
            </c:extLst>
          </c:dPt>
          <c:dPt>
            <c:idx val="2"/>
            <c:invertIfNegative val="0"/>
            <c:bubble3D val="0"/>
            <c:spPr>
              <a:solidFill>
                <a:srgbClr val="DDC9A3"/>
              </a:solidFill>
              <a:ln>
                <a:noFill/>
              </a:ln>
              <a:effectLst/>
              <a:sp3d/>
            </c:spPr>
            <c:extLst>
              <c:ext xmlns:c16="http://schemas.microsoft.com/office/drawing/2014/chart" uri="{C3380CC4-5D6E-409C-BE32-E72D297353CC}">
                <c16:uniqueId val="{00000005-DF87-4181-AB36-88F71450280A}"/>
              </c:ext>
            </c:extLst>
          </c:dPt>
          <c:dPt>
            <c:idx val="3"/>
            <c:invertIfNegative val="0"/>
            <c:bubble3D val="0"/>
            <c:spPr>
              <a:solidFill>
                <a:srgbClr val="54565A"/>
              </a:solidFill>
              <a:ln>
                <a:noFill/>
              </a:ln>
              <a:effectLst/>
              <a:sp3d/>
            </c:spPr>
            <c:extLst>
              <c:ext xmlns:c16="http://schemas.microsoft.com/office/drawing/2014/chart" uri="{C3380CC4-5D6E-409C-BE32-E72D297353CC}">
                <c16:uniqueId val="{00000007-DF87-4181-AB36-88F71450280A}"/>
              </c:ext>
            </c:extLst>
          </c:dPt>
          <c:dLbls>
            <c:dLbl>
              <c:idx val="0"/>
              <c:layout>
                <c:manualLayout>
                  <c:x val="2.2716064515534901E-2"/>
                  <c:y val="-0.3843734159570154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F87-4181-AB36-88F71450280A}"/>
                </c:ext>
              </c:extLst>
            </c:dLbl>
            <c:dLbl>
              <c:idx val="1"/>
              <c:layout>
                <c:manualLayout>
                  <c:x val="1.9444464732614793E-2"/>
                  <c:y val="-0.1312284570154096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F87-4181-AB36-88F71450280A}"/>
                </c:ext>
              </c:extLst>
            </c:dLbl>
            <c:dLbl>
              <c:idx val="2"/>
              <c:layout>
                <c:manualLayout>
                  <c:x val="2.2222268091129097E-2"/>
                  <c:y val="-9.54037408759124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F87-4181-AB36-88F71450280A}"/>
                </c:ext>
              </c:extLst>
            </c:dLbl>
            <c:dLbl>
              <c:idx val="3"/>
              <c:layout>
                <c:manualLayout>
                  <c:x val="2.2716064515534751E-2"/>
                  <c:y val="-9.35852595296027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F87-4181-AB36-88F71450280A}"/>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'Ing.Gestion (2)'!$J$30:$J$33</c:f>
              <c:strCache>
                <c:ptCount val="4"/>
                <c:pt idx="0">
                  <c:v>IMPUESTOS</c:v>
                </c:pt>
                <c:pt idx="1">
                  <c:v>DERECHOS</c:v>
                </c:pt>
                <c:pt idx="2">
                  <c:v>PRODUCTOS</c:v>
                </c:pt>
                <c:pt idx="3">
                  <c:v>APROVECHAMIENTOS</c:v>
                </c:pt>
              </c:strCache>
            </c:strRef>
          </c:cat>
          <c:val>
            <c:numRef>
              <c:f>'Ing.Gestion (2)'!$R$30:$R$33</c:f>
              <c:numCache>
                <c:formatCode>0.00%</c:formatCode>
                <c:ptCount val="4"/>
                <c:pt idx="0">
                  <c:v>0.85582033131747093</c:v>
                </c:pt>
                <c:pt idx="1">
                  <c:v>0.13224489494601699</c:v>
                </c:pt>
                <c:pt idx="2">
                  <c:v>7.5031826693715145E-3</c:v>
                </c:pt>
                <c:pt idx="3">
                  <c:v>4.4315910671406788E-3</c:v>
                </c:pt>
              </c:numCache>
            </c:numRef>
          </c:val>
          <c:extLst>
            <c:ext xmlns:c16="http://schemas.microsoft.com/office/drawing/2014/chart" uri="{C3380CC4-5D6E-409C-BE32-E72D297353CC}">
              <c16:uniqueId val="{00000008-DF87-4181-AB36-88F71450280A}"/>
            </c:ext>
          </c:extLst>
        </c:ser>
        <c:dLbls>
          <c:showLegendKey val="0"/>
          <c:showVal val="0"/>
          <c:showCatName val="0"/>
          <c:showSerName val="0"/>
          <c:showPercent val="0"/>
          <c:showBubbleSize val="0"/>
        </c:dLbls>
        <c:gapWidth val="150"/>
        <c:shape val="box"/>
        <c:axId val="946533008"/>
        <c:axId val="946532528"/>
        <c:axId val="0"/>
      </c:bar3DChart>
      <c:catAx>
        <c:axId val="9465330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46532528"/>
        <c:crosses val="autoZero"/>
        <c:auto val="1"/>
        <c:lblAlgn val="ctr"/>
        <c:lblOffset val="100"/>
        <c:noMultiLvlLbl val="0"/>
      </c:catAx>
      <c:valAx>
        <c:axId val="946532528"/>
        <c:scaling>
          <c:orientation val="minMax"/>
        </c:scaling>
        <c:delete val="1"/>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crossAx val="946533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a:t>Gráfica 8. Convenios de reasignación estimado</a:t>
            </a:r>
            <a:r>
              <a:rPr lang="es-MX" baseline="0"/>
              <a:t> en la Ley de Ingresos 2026 vs 1er trimestre</a:t>
            </a:r>
            <a:r>
              <a:rPr lang="es-MX"/>
              <a:t> 2026</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AB0033"/>
              </a:solidFill>
              <a:ln>
                <a:noFill/>
              </a:ln>
              <a:effectLst/>
            </c:spPr>
            <c:extLst>
              <c:ext xmlns:c16="http://schemas.microsoft.com/office/drawing/2014/chart" uri="{C3380CC4-5D6E-409C-BE32-E72D297353CC}">
                <c16:uniqueId val="{00000001-D54D-4DC9-BE31-79185DA80719}"/>
              </c:ext>
            </c:extLst>
          </c:dPt>
          <c:dPt>
            <c:idx val="1"/>
            <c:invertIfNegative val="0"/>
            <c:bubble3D val="0"/>
            <c:spPr>
              <a:solidFill>
                <a:srgbClr val="DDC9A3"/>
              </a:solidFill>
              <a:ln>
                <a:solidFill>
                  <a:srgbClr val="DDC9A3"/>
                </a:solidFill>
              </a:ln>
              <a:effectLst/>
            </c:spPr>
            <c:extLst>
              <c:ext xmlns:c16="http://schemas.microsoft.com/office/drawing/2014/chart" uri="{C3380CC4-5D6E-409C-BE32-E72D297353CC}">
                <c16:uniqueId val="{00000003-D54D-4DC9-BE31-79185DA80719}"/>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54D-4DC9-BE31-79185DA80719}"/>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54D-4DC9-BE31-79185DA807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'Ing.Gestion (2)'!$K$36:$L$36</c:f>
              <c:strCache>
                <c:ptCount val="2"/>
                <c:pt idx="0">
                  <c:v>Estimado 2026</c:v>
                </c:pt>
                <c:pt idx="1">
                  <c:v>Recaudado al 1er trimestre de 2026</c:v>
                </c:pt>
              </c:strCache>
            </c:strRef>
          </c:cat>
          <c:val>
            <c:numRef>
              <c:f>'Ing.Gestion (2)'!$K$39:$L$39</c:f>
              <c:numCache>
                <c:formatCode>#,##0.00</c:formatCode>
                <c:ptCount val="2"/>
                <c:pt idx="0">
                  <c:v>450689845.33487511</c:v>
                </c:pt>
                <c:pt idx="1">
                  <c:v>1252791725.6099999</c:v>
                </c:pt>
              </c:numCache>
            </c:numRef>
          </c:val>
          <c:extLst>
            <c:ext xmlns:c16="http://schemas.microsoft.com/office/drawing/2014/chart" uri="{C3380CC4-5D6E-409C-BE32-E72D297353CC}">
              <c16:uniqueId val="{00000004-D54D-4DC9-BE31-79185DA80719}"/>
            </c:ext>
          </c:extLst>
        </c:ser>
        <c:dLbls>
          <c:showLegendKey val="0"/>
          <c:showVal val="0"/>
          <c:showCatName val="0"/>
          <c:showSerName val="0"/>
          <c:showPercent val="0"/>
          <c:showBubbleSize val="0"/>
        </c:dLbls>
        <c:gapWidth val="219"/>
        <c:overlap val="-27"/>
        <c:axId val="904564400"/>
        <c:axId val="904565360"/>
      </c:barChart>
      <c:catAx>
        <c:axId val="904564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904565360"/>
        <c:crosses val="autoZero"/>
        <c:auto val="1"/>
        <c:lblAlgn val="ctr"/>
        <c:lblOffset val="100"/>
        <c:noMultiLvlLbl val="0"/>
      </c:catAx>
      <c:valAx>
        <c:axId val="904565360"/>
        <c:scaling>
          <c:orientation val="minMax"/>
        </c:scaling>
        <c:delete val="1"/>
        <c:axPos val="l"/>
        <c:numFmt formatCode="#,##0.00" sourceLinked="1"/>
        <c:majorTickMark val="none"/>
        <c:minorTickMark val="none"/>
        <c:tickLblPos val="nextTo"/>
        <c:crossAx val="9045644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3E6BFA-8CFB-43F6-A58E-9F7AEE9FA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705</TotalTime>
  <Pages>1</Pages>
  <Words>7324</Words>
  <Characters>40286</Characters>
  <Application>Microsoft Office Word</Application>
  <DocSecurity>0</DocSecurity>
  <Lines>335</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Alan Ramirez</dc:creator>
  <cp:keywords/>
  <dc:description/>
  <cp:lastModifiedBy>SAMUEL EVANGELISTA</cp:lastModifiedBy>
  <cp:revision>15</cp:revision>
  <cp:lastPrinted>2025-07-30T17:17:00Z</cp:lastPrinted>
  <dcterms:created xsi:type="dcterms:W3CDTF">2026-01-27T00:38:00Z</dcterms:created>
  <dcterms:modified xsi:type="dcterms:W3CDTF">2026-04-30T20:02:00Z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2023-07-27T01:06:06Z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3d591e8a-a8e8-4414-958b-1367e66c77be</vt:lpwstr>
  </property>
  <property fmtid="{D5CDD505-2E9C-101B-9397-08002B2CF9AE}" pid="7" name="MSIP_Label_defa4170-0d19-0005-0004-bc88714345d2_ActionId">
    <vt:lpwstr>b33deaa5-8ba0-40ee-9fbe-e45ca3ce1e8d</vt:lpwstr>
  </property>
  <property fmtid="{D5CDD505-2E9C-101B-9397-08002B2CF9AE}" pid="8" name="MSIP_Label_defa4170-0d19-0005-0004-bc88714345d2_ContentBits">
    <vt:lpwstr>0</vt:lpwstr>
  </property>
</Properties>
</file>