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800B64">
              <w:rPr>
                <w:sz w:val="20"/>
                <w:lang w:eastAsia="es-MX"/>
              </w:rPr>
              <w:t xml:space="preserve"> – Marzo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800B64">
              <w:rPr>
                <w:sz w:val="20"/>
                <w:lang w:eastAsia="es-MX"/>
              </w:rPr>
              <w:t xml:space="preserve"> 2024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       349,706.37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DD127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</w:t>
            </w:r>
            <w:r w:rsidR="00800B64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s-MX"/>
              </w:rPr>
              <w:t>349,706.37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( REMANENTES-RENDIMIENTO FINANCIEROS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>1,587,162.95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    1,587,162.95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>
      <w:bookmarkStart w:id="0" w:name="_GoBack"/>
      <w:bookmarkEnd w:id="0"/>
    </w:p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B9191F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A595D"/>
    <w:rsid w:val="00DA7A43"/>
    <w:rsid w:val="00DB3C90"/>
    <w:rsid w:val="00DD1275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27</cp:revision>
  <cp:lastPrinted>2018-10-23T14:46:00Z</cp:lastPrinted>
  <dcterms:created xsi:type="dcterms:W3CDTF">2023-02-16T20:25:00Z</dcterms:created>
  <dcterms:modified xsi:type="dcterms:W3CDTF">2024-04-30T14:47:00Z</dcterms:modified>
</cp:coreProperties>
</file>