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FFCE" w14:textId="77777777" w:rsidR="00C717D0" w:rsidRPr="00DA067C" w:rsidRDefault="00C717D0" w:rsidP="00C717D0">
      <w:pPr>
        <w:rPr>
          <w:rFonts w:ascii="Arial Nova Cond" w:hAnsi="Arial Nova Cond"/>
          <w:b/>
          <w:bCs/>
          <w:sz w:val="20"/>
          <w:szCs w:val="20"/>
        </w:rPr>
      </w:pPr>
    </w:p>
    <w:p w14:paraId="337E10F1" w14:textId="77777777" w:rsidR="00C717D0" w:rsidRPr="00DA067C" w:rsidRDefault="00C717D0" w:rsidP="00C717D0">
      <w:pPr>
        <w:rPr>
          <w:rFonts w:ascii="Arial Nova Cond" w:hAnsi="Arial Nova Cond"/>
          <w:b/>
          <w:bCs/>
          <w:sz w:val="20"/>
          <w:szCs w:val="20"/>
        </w:rPr>
      </w:pPr>
    </w:p>
    <w:p w14:paraId="3206BFA4" w14:textId="77777777" w:rsidR="00AE1A37" w:rsidRDefault="00AE1A37" w:rsidP="00AE1A37">
      <w:pPr>
        <w:rPr>
          <w:rFonts w:ascii="Arial" w:hAnsi="Arial" w:cs="Arial"/>
          <w:b/>
          <w:sz w:val="28"/>
          <w:lang w:val="es-MX"/>
        </w:rPr>
      </w:pPr>
    </w:p>
    <w:p w14:paraId="47F2CF98" w14:textId="77777777" w:rsidR="00AE1A37" w:rsidRDefault="00AE1A37" w:rsidP="00AE1A37">
      <w:pPr>
        <w:ind w:left="2977" w:hanging="2977"/>
        <w:jc w:val="center"/>
        <w:rPr>
          <w:rFonts w:ascii="Arial" w:hAnsi="Arial" w:cs="Arial"/>
          <w:b/>
          <w:sz w:val="28"/>
          <w:lang w:val="es-MX"/>
        </w:rPr>
      </w:pPr>
      <w:r w:rsidRPr="002B1CE9">
        <w:rPr>
          <w:rFonts w:ascii="Arial" w:hAnsi="Arial" w:cs="Arial"/>
          <w:b/>
          <w:sz w:val="28"/>
          <w:lang w:val="es-MX"/>
        </w:rPr>
        <w:t>FIDEICOMISO GUERRERO INDUSTRIAL, A.P.E</w:t>
      </w:r>
    </w:p>
    <w:p w14:paraId="4912CBF7" w14:textId="77777777" w:rsidR="00AE1A37" w:rsidRPr="002B1CE9" w:rsidRDefault="00AE1A37" w:rsidP="00AE1A37">
      <w:pPr>
        <w:jc w:val="center"/>
        <w:rPr>
          <w:rFonts w:ascii="Arial" w:hAnsi="Arial" w:cs="Arial"/>
          <w:b/>
          <w:sz w:val="28"/>
          <w:lang w:val="es-MX"/>
        </w:rPr>
      </w:pPr>
    </w:p>
    <w:p w14:paraId="7127A316" w14:textId="77777777" w:rsidR="00AE1A37" w:rsidRPr="002B1CE9" w:rsidRDefault="00AE1A37" w:rsidP="00AE1A37">
      <w:pPr>
        <w:jc w:val="center"/>
        <w:rPr>
          <w:rFonts w:ascii="Arial" w:hAnsi="Arial" w:cs="Arial"/>
          <w:b/>
          <w:u w:val="single"/>
          <w:lang w:val="es-MX"/>
        </w:rPr>
      </w:pPr>
      <w:r w:rsidRPr="002B1CE9">
        <w:rPr>
          <w:rFonts w:ascii="Arial" w:hAnsi="Arial" w:cs="Arial"/>
          <w:b/>
          <w:u w:val="single"/>
          <w:lang w:val="es-MX"/>
        </w:rPr>
        <w:t>NOTAS A LOS ESTADOS FINANCIEROS AL 3</w:t>
      </w:r>
      <w:r>
        <w:rPr>
          <w:rFonts w:ascii="Arial" w:hAnsi="Arial" w:cs="Arial"/>
          <w:b/>
          <w:u w:val="single"/>
          <w:lang w:val="es-MX"/>
        </w:rPr>
        <w:t xml:space="preserve">0 DE JUNIO </w:t>
      </w:r>
      <w:r w:rsidRPr="002B1CE9">
        <w:rPr>
          <w:rFonts w:ascii="Arial" w:hAnsi="Arial" w:cs="Arial"/>
          <w:b/>
          <w:u w:val="single"/>
          <w:lang w:val="es-MX"/>
        </w:rPr>
        <w:t>DE 20</w:t>
      </w:r>
      <w:r>
        <w:rPr>
          <w:rFonts w:ascii="Arial" w:hAnsi="Arial" w:cs="Arial"/>
          <w:b/>
          <w:u w:val="single"/>
          <w:lang w:val="es-MX"/>
        </w:rPr>
        <w:t>22.</w:t>
      </w:r>
    </w:p>
    <w:p w14:paraId="18A87376" w14:textId="77777777" w:rsidR="00AE1A37" w:rsidRPr="00BC479A" w:rsidRDefault="00AE1A37" w:rsidP="00AE1A37">
      <w:pPr>
        <w:pStyle w:val="INCISO"/>
        <w:spacing w:after="0" w:line="240" w:lineRule="exact"/>
        <w:ind w:left="648"/>
        <w:rPr>
          <w:b/>
          <w:smallCaps/>
          <w:sz w:val="22"/>
          <w:szCs w:val="22"/>
        </w:rPr>
      </w:pPr>
      <w:r w:rsidRPr="00BC479A">
        <w:rPr>
          <w:b/>
          <w:smallCaps/>
          <w:sz w:val="22"/>
          <w:szCs w:val="22"/>
        </w:rPr>
        <w:t>I)</w:t>
      </w:r>
      <w:r w:rsidRPr="00BC479A">
        <w:rPr>
          <w:b/>
          <w:smallCaps/>
          <w:sz w:val="22"/>
          <w:szCs w:val="22"/>
        </w:rPr>
        <w:tab/>
        <w:t>Notas al Estado de Situación Financiera</w:t>
      </w:r>
    </w:p>
    <w:p w14:paraId="11624213" w14:textId="77777777" w:rsidR="00AE1A37" w:rsidRPr="00033B8F" w:rsidRDefault="00AE1A37" w:rsidP="00AE1A37">
      <w:pPr>
        <w:pStyle w:val="Texto"/>
        <w:spacing w:after="0" w:line="240" w:lineRule="exact"/>
        <w:rPr>
          <w:b/>
          <w:sz w:val="22"/>
          <w:szCs w:val="22"/>
        </w:rPr>
      </w:pPr>
    </w:p>
    <w:p w14:paraId="018D7BF8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2BD97AE3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Activo</w:t>
      </w:r>
    </w:p>
    <w:p w14:paraId="514C2D3B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727022CF" w14:textId="77777777" w:rsidR="00AE1A37" w:rsidRDefault="00AE1A37" w:rsidP="00AE1A37">
      <w:pPr>
        <w:pStyle w:val="Texto"/>
        <w:spacing w:after="0" w:line="240" w:lineRule="exact"/>
        <w:ind w:firstLine="426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Efectivo y Equivalentes</w:t>
      </w:r>
    </w:p>
    <w:p w14:paraId="52F456C9" w14:textId="77777777" w:rsidR="00AE1A37" w:rsidRPr="00BC479A" w:rsidRDefault="00AE1A37" w:rsidP="00AE1A37">
      <w:pPr>
        <w:pStyle w:val="Texto"/>
        <w:spacing w:after="0" w:line="240" w:lineRule="exact"/>
        <w:ind w:firstLine="706"/>
        <w:rPr>
          <w:b/>
          <w:sz w:val="22"/>
          <w:szCs w:val="22"/>
          <w:lang w:val="es-MX"/>
        </w:rPr>
      </w:pPr>
    </w:p>
    <w:p w14:paraId="02B232F7" w14:textId="77777777" w:rsidR="00AE1A37" w:rsidRPr="00BC479A" w:rsidRDefault="00AE1A37" w:rsidP="00AE1A37">
      <w:pPr>
        <w:pStyle w:val="ROMANOS"/>
        <w:numPr>
          <w:ilvl w:val="0"/>
          <w:numId w:val="1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 xml:space="preserve">El Fideicomiso cuenta con efectivo y equivalentes siguientes: fondos </w:t>
      </w:r>
      <w:proofErr w:type="spellStart"/>
      <w:r w:rsidRPr="00BC479A">
        <w:rPr>
          <w:sz w:val="22"/>
          <w:szCs w:val="22"/>
          <w:lang w:val="es-MX"/>
        </w:rPr>
        <w:t>re</w:t>
      </w:r>
      <w:r>
        <w:rPr>
          <w:sz w:val="22"/>
          <w:szCs w:val="22"/>
          <w:lang w:val="es-MX"/>
        </w:rPr>
        <w:t>v</w:t>
      </w:r>
      <w:r w:rsidRPr="00BC479A">
        <w:rPr>
          <w:sz w:val="22"/>
          <w:szCs w:val="22"/>
          <w:lang w:val="es-MX"/>
        </w:rPr>
        <w:t>olventes</w:t>
      </w:r>
      <w:proofErr w:type="spellEnd"/>
      <w:r w:rsidRPr="00BC479A">
        <w:rPr>
          <w:sz w:val="22"/>
          <w:szCs w:val="22"/>
          <w:lang w:val="es-MX"/>
        </w:rPr>
        <w:t xml:space="preserve"> por la cantidad $</w:t>
      </w:r>
      <w:r>
        <w:rPr>
          <w:sz w:val="22"/>
          <w:szCs w:val="22"/>
          <w:lang w:val="es-MX"/>
        </w:rPr>
        <w:t>3,208.58</w:t>
      </w:r>
      <w:r w:rsidRPr="00BC479A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Tres Mil Doscientos Ocho Pesos 58</w:t>
      </w:r>
      <w:r w:rsidRPr="00BC479A">
        <w:rPr>
          <w:sz w:val="22"/>
          <w:szCs w:val="22"/>
          <w:lang w:val="es-MX"/>
        </w:rPr>
        <w:t>/100 M.N.)</w:t>
      </w:r>
      <w:r>
        <w:rPr>
          <w:sz w:val="22"/>
          <w:szCs w:val="22"/>
          <w:lang w:val="es-MX"/>
        </w:rPr>
        <w:t xml:space="preserve">. Este importe corresponde a exempleados de la administración anterior. En </w:t>
      </w:r>
      <w:r w:rsidRPr="00BC479A">
        <w:rPr>
          <w:sz w:val="22"/>
          <w:szCs w:val="22"/>
          <w:lang w:val="es-MX"/>
        </w:rPr>
        <w:t>bancos existe al cierre del</w:t>
      </w:r>
      <w:r>
        <w:rPr>
          <w:sz w:val="22"/>
          <w:szCs w:val="22"/>
          <w:lang w:val="es-MX"/>
        </w:rPr>
        <w:t xml:space="preserve"> mes de </w:t>
      </w:r>
      <w:proofErr w:type="gramStart"/>
      <w:r>
        <w:rPr>
          <w:sz w:val="22"/>
          <w:szCs w:val="22"/>
          <w:lang w:val="es-MX"/>
        </w:rPr>
        <w:t>Junio</w:t>
      </w:r>
      <w:proofErr w:type="gramEnd"/>
      <w:r>
        <w:rPr>
          <w:sz w:val="22"/>
          <w:szCs w:val="22"/>
          <w:lang w:val="es-MX"/>
        </w:rPr>
        <w:t xml:space="preserve"> de 2022</w:t>
      </w:r>
      <w:r w:rsidRPr="00BC479A">
        <w:rPr>
          <w:sz w:val="22"/>
          <w:szCs w:val="22"/>
          <w:lang w:val="es-MX"/>
        </w:rPr>
        <w:t xml:space="preserve"> la cantidad de $</w:t>
      </w:r>
      <w:r>
        <w:rPr>
          <w:sz w:val="22"/>
          <w:szCs w:val="22"/>
          <w:lang w:val="es-MX"/>
        </w:rPr>
        <w:t>151,561.70 (Ciento Cincuenta y Un Mil Quinientos Sesenta y Un Pesos 70/100</w:t>
      </w:r>
      <w:r w:rsidRPr="00BC479A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M/N). Integrado por</w:t>
      </w:r>
      <w:r w:rsidRPr="00BC479A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ingresos propios, </w:t>
      </w:r>
      <w:r w:rsidRPr="00BC479A">
        <w:rPr>
          <w:sz w:val="22"/>
          <w:szCs w:val="22"/>
          <w:lang w:val="es-MX"/>
        </w:rPr>
        <w:t>recursos</w:t>
      </w:r>
      <w:r>
        <w:rPr>
          <w:sz w:val="22"/>
          <w:szCs w:val="22"/>
          <w:lang w:val="es-MX"/>
        </w:rPr>
        <w:t xml:space="preserve"> aportados por el Gobierno del Estado</w:t>
      </w:r>
      <w:r w:rsidRPr="00BC479A">
        <w:rPr>
          <w:sz w:val="22"/>
          <w:szCs w:val="22"/>
          <w:lang w:val="es-MX"/>
        </w:rPr>
        <w:t xml:space="preserve"> para gastos de operación</w:t>
      </w:r>
      <w:r>
        <w:rPr>
          <w:sz w:val="22"/>
          <w:szCs w:val="22"/>
          <w:lang w:val="es-MX"/>
        </w:rPr>
        <w:t xml:space="preserve"> y pago del impuesto del 2% sobre nómina del mes de </w:t>
      </w:r>
      <w:proofErr w:type="gramStart"/>
      <w:r>
        <w:rPr>
          <w:sz w:val="22"/>
          <w:szCs w:val="22"/>
          <w:lang w:val="es-MX"/>
        </w:rPr>
        <w:t>Junio</w:t>
      </w:r>
      <w:proofErr w:type="gramEnd"/>
      <w:r>
        <w:rPr>
          <w:sz w:val="22"/>
          <w:szCs w:val="22"/>
          <w:lang w:val="es-MX"/>
        </w:rPr>
        <w:t xml:space="preserve"> 2022.</w:t>
      </w:r>
    </w:p>
    <w:p w14:paraId="0959EE53" w14:textId="77777777" w:rsidR="00AE1A37" w:rsidRPr="00BC479A" w:rsidRDefault="00AE1A37" w:rsidP="00AE1A37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5A18894B" w14:textId="77777777" w:rsidR="00AE1A37" w:rsidRDefault="00AE1A37" w:rsidP="00AE1A37">
      <w:pPr>
        <w:pStyle w:val="ROMANOS"/>
        <w:numPr>
          <w:ilvl w:val="0"/>
          <w:numId w:val="1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EA5495">
        <w:rPr>
          <w:sz w:val="22"/>
          <w:szCs w:val="22"/>
          <w:lang w:val="es-MX"/>
        </w:rPr>
        <w:t>El Fideicomiso tiene derechos a recibir en efectivo, por deudores diversos por gastos a comprobar por un equivalente $</w:t>
      </w:r>
      <w:r>
        <w:rPr>
          <w:sz w:val="22"/>
          <w:szCs w:val="22"/>
          <w:lang w:val="es-MX"/>
        </w:rPr>
        <w:t xml:space="preserve">61,803.11 (Sesenta y un mil </w:t>
      </w:r>
      <w:proofErr w:type="spellStart"/>
      <w:r>
        <w:rPr>
          <w:sz w:val="22"/>
          <w:szCs w:val="22"/>
          <w:lang w:val="es-MX"/>
        </w:rPr>
        <w:t>ochoscientos</w:t>
      </w:r>
      <w:proofErr w:type="spellEnd"/>
      <w:r>
        <w:rPr>
          <w:sz w:val="22"/>
          <w:szCs w:val="22"/>
          <w:lang w:val="es-MX"/>
        </w:rPr>
        <w:t xml:space="preserve"> tres Pesos 11</w:t>
      </w:r>
      <w:r w:rsidRPr="00EA5495">
        <w:rPr>
          <w:sz w:val="22"/>
          <w:szCs w:val="22"/>
          <w:lang w:val="es-MX"/>
        </w:rPr>
        <w:t>/100 M.N.)</w:t>
      </w:r>
      <w:r>
        <w:rPr>
          <w:sz w:val="22"/>
          <w:szCs w:val="22"/>
          <w:lang w:val="es-MX"/>
        </w:rPr>
        <w:t xml:space="preserve">, de los cuales los más significativos son $24,237.13 que corresponden a saldo deudor del ex Director General del organismo y $11,999.98 por derechos de cobro a la empresa Administradora Pacífico Imperial, S.A. de C.V. por renta de instalación de 2 espectaculares para publicidad de los eventos de </w:t>
      </w:r>
      <w:proofErr w:type="spellStart"/>
      <w:r>
        <w:rPr>
          <w:sz w:val="22"/>
          <w:szCs w:val="22"/>
          <w:lang w:val="es-MX"/>
        </w:rPr>
        <w:t>Forum</w:t>
      </w:r>
      <w:proofErr w:type="spellEnd"/>
      <w:r>
        <w:rPr>
          <w:sz w:val="22"/>
          <w:szCs w:val="22"/>
          <w:lang w:val="es-MX"/>
        </w:rPr>
        <w:t xml:space="preserve"> Mundo Imperial en el Lote 4 Manzana 1 y Lote 4 Manzana 2. </w:t>
      </w:r>
    </w:p>
    <w:p w14:paraId="7A57FA58" w14:textId="77777777" w:rsidR="00AE1A37" w:rsidRDefault="00AE1A37" w:rsidP="00AE1A37">
      <w:pPr>
        <w:pStyle w:val="Prrafodelista"/>
      </w:pPr>
    </w:p>
    <w:p w14:paraId="1C2BF968" w14:textId="77777777" w:rsidR="00AE1A37" w:rsidRPr="00E652AE" w:rsidRDefault="00AE1A37" w:rsidP="00AE1A37">
      <w:pPr>
        <w:pStyle w:val="ROMANOS"/>
        <w:numPr>
          <w:ilvl w:val="0"/>
          <w:numId w:val="1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EA5495">
        <w:rPr>
          <w:sz w:val="22"/>
          <w:szCs w:val="22"/>
          <w:lang w:val="es-MX"/>
        </w:rPr>
        <w:t xml:space="preserve">El Fideicomiso cuenta con derechos a recibir en Bienes y Servicios, en la cuenta de anticipos a proveedores cuenta con un saldo de </w:t>
      </w:r>
      <w:r>
        <w:rPr>
          <w:sz w:val="22"/>
          <w:szCs w:val="22"/>
          <w:lang w:val="es-MX"/>
        </w:rPr>
        <w:t>$298</w:t>
      </w:r>
      <w:r w:rsidRPr="00EA5495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217.31</w:t>
      </w:r>
      <w:r w:rsidRPr="00EA5495">
        <w:rPr>
          <w:sz w:val="22"/>
          <w:szCs w:val="22"/>
          <w:lang w:val="es-MX"/>
        </w:rPr>
        <w:t xml:space="preserve"> (Doscientos </w:t>
      </w:r>
      <w:r>
        <w:rPr>
          <w:sz w:val="22"/>
          <w:szCs w:val="22"/>
          <w:lang w:val="es-MX"/>
        </w:rPr>
        <w:t>Nov</w:t>
      </w:r>
      <w:r w:rsidRPr="00EA5495">
        <w:rPr>
          <w:sz w:val="22"/>
          <w:szCs w:val="22"/>
          <w:lang w:val="es-MX"/>
        </w:rPr>
        <w:t xml:space="preserve">enta y </w:t>
      </w:r>
      <w:r>
        <w:rPr>
          <w:sz w:val="22"/>
          <w:szCs w:val="22"/>
          <w:lang w:val="es-MX"/>
        </w:rPr>
        <w:t xml:space="preserve">Ocho </w:t>
      </w:r>
      <w:r w:rsidRPr="00EA5495">
        <w:rPr>
          <w:sz w:val="22"/>
          <w:szCs w:val="22"/>
          <w:lang w:val="es-MX"/>
        </w:rPr>
        <w:t xml:space="preserve">Mil </w:t>
      </w:r>
      <w:r>
        <w:rPr>
          <w:sz w:val="22"/>
          <w:szCs w:val="22"/>
          <w:lang w:val="es-MX"/>
        </w:rPr>
        <w:t>Doscientos Diecisiete</w:t>
      </w:r>
      <w:r w:rsidRPr="00EA5495">
        <w:rPr>
          <w:sz w:val="22"/>
          <w:szCs w:val="22"/>
          <w:lang w:val="es-MX"/>
        </w:rPr>
        <w:t xml:space="preserve"> Pesos </w:t>
      </w:r>
      <w:r>
        <w:rPr>
          <w:sz w:val="22"/>
          <w:szCs w:val="22"/>
          <w:lang w:val="es-MX"/>
        </w:rPr>
        <w:t>31</w:t>
      </w:r>
      <w:r w:rsidRPr="00E652AE">
        <w:rPr>
          <w:sz w:val="22"/>
          <w:szCs w:val="22"/>
          <w:lang w:val="es-MX"/>
        </w:rPr>
        <w:t xml:space="preserve">/100 M.N.) correspondientes a pagos anticipados a proveedores. </w:t>
      </w:r>
    </w:p>
    <w:p w14:paraId="5E0BD2F0" w14:textId="77777777" w:rsidR="00AE1A37" w:rsidRDefault="00AE1A37" w:rsidP="00AE1A37">
      <w:pPr>
        <w:pStyle w:val="Prrafodelista"/>
        <w:rPr>
          <w:rFonts w:ascii="Arial" w:hAnsi="Arial" w:cs="Arial"/>
        </w:rPr>
      </w:pPr>
    </w:p>
    <w:p w14:paraId="06A817F5" w14:textId="77777777" w:rsidR="00AE1A37" w:rsidRPr="00BC479A" w:rsidRDefault="00AE1A37" w:rsidP="00AE1A3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importe de $21,200.00 corresponden a la administración actual y los $277,017.31 corresponden a la administración anterior. </w:t>
      </w:r>
    </w:p>
    <w:p w14:paraId="79ABD284" w14:textId="77777777" w:rsidR="00AE1A37" w:rsidRPr="00BC479A" w:rsidRDefault="00AE1A37" w:rsidP="00AE1A37">
      <w:pPr>
        <w:pStyle w:val="ROMANOS"/>
        <w:numPr>
          <w:ilvl w:val="0"/>
          <w:numId w:val="1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>El Fideicomiso cuenta con derechos a recibir en Bienes y Servicios, en la cuenta de otros anticipos equivalente a la cantidad de $</w:t>
      </w:r>
      <w:r>
        <w:rPr>
          <w:sz w:val="22"/>
          <w:szCs w:val="22"/>
          <w:lang w:val="es-MX"/>
        </w:rPr>
        <w:t>30,000.00</w:t>
      </w:r>
      <w:r w:rsidRPr="00BC479A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Treinta mil pesos 00</w:t>
      </w:r>
      <w:r w:rsidRPr="00BC479A">
        <w:rPr>
          <w:sz w:val="22"/>
          <w:szCs w:val="22"/>
          <w:lang w:val="es-MX"/>
        </w:rPr>
        <w:t>100 M.N.) correspondientes a</w:t>
      </w:r>
      <w:r>
        <w:rPr>
          <w:sz w:val="22"/>
          <w:szCs w:val="22"/>
          <w:lang w:val="es-MX"/>
        </w:rPr>
        <w:t xml:space="preserve"> anticipo otorgado al C. Arcadio Castro Santos, para la realización de eventos del Fideicomiso como organismo intermedio</w:t>
      </w:r>
      <w:r w:rsidRPr="00BC479A">
        <w:rPr>
          <w:sz w:val="22"/>
          <w:szCs w:val="22"/>
          <w:lang w:val="es-MX"/>
        </w:rPr>
        <w:t>.</w:t>
      </w:r>
    </w:p>
    <w:p w14:paraId="4FB7FADA" w14:textId="77777777" w:rsidR="00AE1A37" w:rsidRDefault="00AE1A37" w:rsidP="00AE1A37">
      <w:pPr>
        <w:pStyle w:val="Prrafodelista"/>
        <w:rPr>
          <w:rFonts w:ascii="Arial" w:hAnsi="Arial" w:cs="Arial"/>
        </w:rPr>
      </w:pPr>
    </w:p>
    <w:p w14:paraId="601F626C" w14:textId="77777777" w:rsidR="00AE1A37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 xml:space="preserve">Bienes </w:t>
      </w:r>
      <w:r>
        <w:rPr>
          <w:b/>
          <w:sz w:val="22"/>
          <w:szCs w:val="22"/>
          <w:lang w:val="es-MX"/>
        </w:rPr>
        <w:t xml:space="preserve">Inmuebles </w:t>
      </w:r>
      <w:r w:rsidRPr="00BC479A">
        <w:rPr>
          <w:b/>
          <w:sz w:val="22"/>
          <w:szCs w:val="22"/>
          <w:lang w:val="es-MX"/>
        </w:rPr>
        <w:t xml:space="preserve">Disponibles para su Transformación o </w:t>
      </w:r>
      <w:r>
        <w:rPr>
          <w:b/>
          <w:sz w:val="22"/>
          <w:szCs w:val="22"/>
          <w:lang w:val="es-MX"/>
        </w:rPr>
        <w:t xml:space="preserve">Venta </w:t>
      </w:r>
      <w:r w:rsidRPr="00BC479A">
        <w:rPr>
          <w:b/>
          <w:sz w:val="22"/>
          <w:szCs w:val="22"/>
          <w:lang w:val="es-MX"/>
        </w:rPr>
        <w:t>(inventarios)</w:t>
      </w:r>
      <w:r>
        <w:rPr>
          <w:b/>
          <w:sz w:val="22"/>
          <w:szCs w:val="22"/>
          <w:lang w:val="es-MX"/>
        </w:rPr>
        <w:t>.</w:t>
      </w:r>
    </w:p>
    <w:p w14:paraId="2F0FB249" w14:textId="77777777" w:rsidR="00AE1A37" w:rsidRPr="00BC479A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08376753" w14:textId="77777777" w:rsidR="00AE1A37" w:rsidRPr="00BC479A" w:rsidRDefault="00AE1A37" w:rsidP="00AE1A37">
      <w:pPr>
        <w:pStyle w:val="ROMANOS"/>
        <w:numPr>
          <w:ilvl w:val="0"/>
          <w:numId w:val="2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>El Fideicomiso cuenta con un inventario de mercancías consistente en terrenos industriales por un monto equivalente a la cantidad de $</w:t>
      </w:r>
      <w:r>
        <w:rPr>
          <w:sz w:val="22"/>
          <w:szCs w:val="22"/>
          <w:lang w:val="es-MX"/>
        </w:rPr>
        <w:t xml:space="preserve">184,614,326.47 (Ciento Ochenta </w:t>
      </w:r>
      <w:r>
        <w:rPr>
          <w:sz w:val="22"/>
          <w:szCs w:val="22"/>
          <w:lang w:val="es-MX"/>
        </w:rPr>
        <w:lastRenderedPageBreak/>
        <w:t>y Cuatro M</w:t>
      </w:r>
      <w:r w:rsidRPr="00BC479A">
        <w:rPr>
          <w:sz w:val="22"/>
          <w:szCs w:val="22"/>
          <w:lang w:val="es-MX"/>
        </w:rPr>
        <w:t xml:space="preserve">illones </w:t>
      </w:r>
      <w:r>
        <w:rPr>
          <w:sz w:val="22"/>
          <w:szCs w:val="22"/>
          <w:lang w:val="es-MX"/>
        </w:rPr>
        <w:t>Seiscientos Catorce Mil Trescientos Veintiséis Pesos 47</w:t>
      </w:r>
      <w:r w:rsidRPr="00BC479A">
        <w:rPr>
          <w:sz w:val="22"/>
          <w:szCs w:val="22"/>
          <w:lang w:val="es-MX"/>
        </w:rPr>
        <w:t>/100 M.N.) disponibles para la venta de inversionistas nacionales y extranjeros que deseen establecer sus industrias en el Estado, manteniendo y generando nuevas fuentes de empleos en la localidad del Ocoti</w:t>
      </w:r>
      <w:r>
        <w:rPr>
          <w:sz w:val="22"/>
          <w:szCs w:val="22"/>
          <w:lang w:val="es-MX"/>
        </w:rPr>
        <w:t>t</w:t>
      </w:r>
      <w:r w:rsidRPr="00BC479A">
        <w:rPr>
          <w:sz w:val="22"/>
          <w:szCs w:val="22"/>
          <w:lang w:val="es-MX"/>
        </w:rPr>
        <w:t>o municipio del Chilpancingo, así como la comercialización de sus productos en el estado, en el país y en el extranjero.</w:t>
      </w:r>
    </w:p>
    <w:p w14:paraId="50839599" w14:textId="77777777" w:rsidR="00AE1A37" w:rsidRPr="00BC479A" w:rsidRDefault="00AE1A37" w:rsidP="00AE1A37">
      <w:pPr>
        <w:pStyle w:val="ROMANOS"/>
        <w:spacing w:after="0" w:line="240" w:lineRule="exact"/>
        <w:ind w:left="1080" w:firstLine="0"/>
        <w:rPr>
          <w:sz w:val="22"/>
          <w:szCs w:val="22"/>
          <w:lang w:val="es-MX"/>
        </w:rPr>
      </w:pPr>
    </w:p>
    <w:p w14:paraId="630EDC22" w14:textId="77777777" w:rsidR="00AE1A37" w:rsidRDefault="00AE1A37" w:rsidP="00AE1A37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ab/>
      </w:r>
    </w:p>
    <w:p w14:paraId="4C1FDE1E" w14:textId="77777777" w:rsidR="00AE1A37" w:rsidRPr="00BC479A" w:rsidRDefault="00AE1A37" w:rsidP="00AE1A37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ab/>
      </w:r>
      <w:r w:rsidRPr="00BC479A">
        <w:rPr>
          <w:b/>
          <w:sz w:val="22"/>
          <w:szCs w:val="22"/>
          <w:lang w:val="es-MX"/>
        </w:rPr>
        <w:t>Inversiones Financieras</w:t>
      </w:r>
    </w:p>
    <w:p w14:paraId="7D98EF99" w14:textId="77777777" w:rsidR="00AE1A37" w:rsidRPr="00BC479A" w:rsidRDefault="00AE1A37" w:rsidP="00AE1A37">
      <w:pPr>
        <w:pStyle w:val="ROMANOS"/>
        <w:spacing w:after="0" w:line="240" w:lineRule="exact"/>
        <w:ind w:left="0" w:firstLine="0"/>
        <w:rPr>
          <w:b/>
          <w:sz w:val="22"/>
          <w:szCs w:val="22"/>
          <w:lang w:val="es-MX"/>
        </w:rPr>
      </w:pPr>
    </w:p>
    <w:p w14:paraId="6F2CC474" w14:textId="77777777" w:rsidR="00AE1A37" w:rsidRPr="00BC479A" w:rsidRDefault="00AE1A37" w:rsidP="00AE1A37">
      <w:pPr>
        <w:pStyle w:val="ROMANOS"/>
        <w:numPr>
          <w:ilvl w:val="0"/>
          <w:numId w:val="3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 xml:space="preserve">El Fideicomiso </w:t>
      </w:r>
      <w:r>
        <w:rPr>
          <w:sz w:val="22"/>
          <w:szCs w:val="22"/>
          <w:lang w:val="es-MX"/>
        </w:rPr>
        <w:t xml:space="preserve">al </w:t>
      </w:r>
      <w:r w:rsidRPr="00BC479A">
        <w:rPr>
          <w:sz w:val="22"/>
          <w:szCs w:val="22"/>
          <w:lang w:val="es-MX"/>
        </w:rPr>
        <w:t>cierr</w:t>
      </w:r>
      <w:r>
        <w:rPr>
          <w:sz w:val="22"/>
          <w:szCs w:val="22"/>
          <w:lang w:val="es-MX"/>
        </w:rPr>
        <w:t>e</w:t>
      </w:r>
      <w:r w:rsidRPr="00BC479A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de</w:t>
      </w:r>
      <w:r w:rsidRPr="00BC479A">
        <w:rPr>
          <w:sz w:val="22"/>
          <w:szCs w:val="22"/>
          <w:lang w:val="es-MX"/>
        </w:rPr>
        <w:t xml:space="preserve">l </w:t>
      </w:r>
      <w:r>
        <w:rPr>
          <w:sz w:val="22"/>
          <w:szCs w:val="22"/>
          <w:lang w:val="es-MX"/>
        </w:rPr>
        <w:t>mes de junio de 2022 co</w:t>
      </w:r>
      <w:r w:rsidRPr="00BC479A">
        <w:rPr>
          <w:sz w:val="22"/>
          <w:szCs w:val="22"/>
          <w:lang w:val="es-MX"/>
        </w:rPr>
        <w:t>n inversiones financieras</w:t>
      </w:r>
      <w:r>
        <w:rPr>
          <w:sz w:val="22"/>
          <w:szCs w:val="22"/>
          <w:lang w:val="es-MX"/>
        </w:rPr>
        <w:t xml:space="preserve"> en Nacional Financiera, S.N.C., por $15,922.49 (Quince Mil Novecientos Veintidós Pesos 49/100 M.N.)</w:t>
      </w:r>
      <w:r w:rsidRPr="00BC479A">
        <w:rPr>
          <w:sz w:val="22"/>
          <w:szCs w:val="22"/>
          <w:lang w:val="es-MX"/>
        </w:rPr>
        <w:t>.</w:t>
      </w:r>
    </w:p>
    <w:p w14:paraId="23798A5B" w14:textId="77777777" w:rsidR="00AE1A37" w:rsidRPr="00BC479A" w:rsidRDefault="00AE1A37" w:rsidP="00AE1A37">
      <w:pPr>
        <w:pStyle w:val="ROMANOS"/>
        <w:spacing w:after="0" w:line="240" w:lineRule="exact"/>
        <w:ind w:left="1080" w:firstLine="0"/>
        <w:rPr>
          <w:sz w:val="22"/>
          <w:szCs w:val="22"/>
          <w:lang w:val="es-MX"/>
        </w:rPr>
      </w:pPr>
    </w:p>
    <w:p w14:paraId="08BD9469" w14:textId="77777777" w:rsidR="00AE1A37" w:rsidRPr="00BC479A" w:rsidRDefault="00AE1A37" w:rsidP="00AE1A37">
      <w:pPr>
        <w:pStyle w:val="ROMANOS"/>
        <w:spacing w:after="0" w:line="240" w:lineRule="exact"/>
        <w:ind w:left="1080" w:firstLine="0"/>
        <w:rPr>
          <w:sz w:val="22"/>
          <w:szCs w:val="22"/>
          <w:lang w:val="es-MX"/>
        </w:rPr>
      </w:pPr>
    </w:p>
    <w:p w14:paraId="6BF34154" w14:textId="77777777" w:rsidR="00AE1A37" w:rsidRDefault="00AE1A37" w:rsidP="00AE1A37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ab/>
        <w:t>Bienes Muebles, Inmuebles e Intangibles</w:t>
      </w:r>
    </w:p>
    <w:p w14:paraId="6E1E34C4" w14:textId="77777777" w:rsidR="00AE1A37" w:rsidRPr="00BC479A" w:rsidRDefault="00AE1A37" w:rsidP="00AE1A37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17DB29C8" w14:textId="77777777" w:rsidR="00AE1A37" w:rsidRPr="00BC479A" w:rsidRDefault="00AE1A37" w:rsidP="00AE1A37">
      <w:pPr>
        <w:pStyle w:val="ROMANOS"/>
        <w:numPr>
          <w:ilvl w:val="0"/>
          <w:numId w:val="4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>El fideicomiso cuenta con bienes inmuebles, por un equivalente a la cantidad de $</w:t>
      </w:r>
      <w:r>
        <w:rPr>
          <w:sz w:val="22"/>
          <w:szCs w:val="22"/>
          <w:lang w:val="es-MX"/>
        </w:rPr>
        <w:t>12,288,355.27</w:t>
      </w:r>
      <w:r w:rsidRPr="00BC479A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Doce M</w:t>
      </w:r>
      <w:r w:rsidRPr="00BC479A">
        <w:rPr>
          <w:sz w:val="22"/>
          <w:szCs w:val="22"/>
          <w:lang w:val="es-MX"/>
        </w:rPr>
        <w:t xml:space="preserve">illones </w:t>
      </w:r>
      <w:r>
        <w:rPr>
          <w:sz w:val="22"/>
          <w:szCs w:val="22"/>
          <w:lang w:val="es-MX"/>
        </w:rPr>
        <w:t>Doscientos Ochenta y Ocho mil Trescientos Cincuenta y Cinco pesos 27</w:t>
      </w:r>
      <w:r w:rsidRPr="00BC479A">
        <w:rPr>
          <w:sz w:val="22"/>
          <w:szCs w:val="22"/>
          <w:lang w:val="es-MX"/>
        </w:rPr>
        <w:t>/100 M,N,) correspondiente a la construcción de la vialidad iguala, rehabilitación de pozo profundo de abastecimiento de agua potable a las naves industriales y construcción de caseta de vigilancia</w:t>
      </w:r>
      <w:r>
        <w:rPr>
          <w:sz w:val="22"/>
          <w:szCs w:val="22"/>
          <w:lang w:val="es-MX"/>
        </w:rPr>
        <w:t>,</w:t>
      </w:r>
      <w:r w:rsidRPr="00BC479A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 la instalación de postes de iluminación y fachada-entrada de</w:t>
      </w:r>
      <w:r w:rsidRPr="00BC479A">
        <w:rPr>
          <w:sz w:val="22"/>
          <w:szCs w:val="22"/>
          <w:lang w:val="es-MX"/>
        </w:rPr>
        <w:t xml:space="preserve"> las instalaciones del Parque Industrial Guerrero, con un monto de depreciación por la cantidad de $</w:t>
      </w:r>
      <w:r>
        <w:rPr>
          <w:sz w:val="22"/>
          <w:szCs w:val="22"/>
          <w:lang w:val="es-MX"/>
        </w:rPr>
        <w:t>4’708,940.41</w:t>
      </w:r>
      <w:r w:rsidRPr="00BC479A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Cuatro millones setecientos ocho mil novecientos cuarenta pesos 41</w:t>
      </w:r>
      <w:r w:rsidRPr="00BC479A">
        <w:rPr>
          <w:sz w:val="22"/>
          <w:szCs w:val="22"/>
          <w:lang w:val="es-MX"/>
        </w:rPr>
        <w:t>/100 M.N.).</w:t>
      </w:r>
    </w:p>
    <w:p w14:paraId="4DDEAAC2" w14:textId="77777777" w:rsidR="00AE1A37" w:rsidRPr="00BC479A" w:rsidRDefault="00AE1A37" w:rsidP="00AE1A37">
      <w:pPr>
        <w:pStyle w:val="ROMANOS"/>
        <w:spacing w:after="0" w:line="240" w:lineRule="exact"/>
        <w:ind w:left="1080" w:firstLine="0"/>
        <w:rPr>
          <w:sz w:val="22"/>
          <w:szCs w:val="22"/>
          <w:lang w:val="es-MX"/>
        </w:rPr>
      </w:pPr>
    </w:p>
    <w:p w14:paraId="7249AACB" w14:textId="77777777" w:rsidR="00AE1A37" w:rsidRPr="00BC479A" w:rsidRDefault="00AE1A37" w:rsidP="00AE1A37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0F2A112E" w14:textId="77777777" w:rsidR="00AE1A37" w:rsidRDefault="00AE1A37" w:rsidP="00AE1A37">
      <w:pPr>
        <w:pStyle w:val="ROMANOS"/>
        <w:spacing w:after="0" w:line="240" w:lineRule="exact"/>
        <w:ind w:left="864"/>
        <w:rPr>
          <w:b/>
          <w:sz w:val="22"/>
          <w:szCs w:val="22"/>
          <w:lang w:val="es-MX"/>
        </w:rPr>
      </w:pPr>
    </w:p>
    <w:p w14:paraId="5BE1C6AF" w14:textId="77777777" w:rsidR="00AE1A37" w:rsidRDefault="00AE1A37" w:rsidP="00AE1A37">
      <w:pPr>
        <w:pStyle w:val="ROMANOS"/>
        <w:spacing w:after="0" w:line="240" w:lineRule="exact"/>
        <w:ind w:left="864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Pasivo</w:t>
      </w:r>
    </w:p>
    <w:p w14:paraId="7F901185" w14:textId="77777777" w:rsidR="00AE1A37" w:rsidRPr="00BC479A" w:rsidRDefault="00AE1A37" w:rsidP="00AE1A37">
      <w:pPr>
        <w:pStyle w:val="ROMANOS"/>
        <w:spacing w:after="0" w:line="240" w:lineRule="exact"/>
        <w:ind w:left="864"/>
        <w:rPr>
          <w:b/>
          <w:sz w:val="22"/>
          <w:szCs w:val="22"/>
          <w:lang w:val="es-MX"/>
        </w:rPr>
      </w:pPr>
    </w:p>
    <w:p w14:paraId="54FD1560" w14:textId="77777777" w:rsidR="00AE1A37" w:rsidRDefault="00AE1A37" w:rsidP="00AE1A37">
      <w:pPr>
        <w:pStyle w:val="ROMANOS"/>
        <w:numPr>
          <w:ilvl w:val="0"/>
          <w:numId w:val="7"/>
        </w:numPr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 xml:space="preserve">El fideicomiso tiene </w:t>
      </w:r>
      <w:r>
        <w:rPr>
          <w:sz w:val="22"/>
          <w:szCs w:val="22"/>
          <w:lang w:val="es-MX"/>
        </w:rPr>
        <w:t xml:space="preserve">un importe </w:t>
      </w:r>
      <w:r w:rsidRPr="00BC479A">
        <w:rPr>
          <w:sz w:val="22"/>
          <w:szCs w:val="22"/>
          <w:lang w:val="es-MX"/>
        </w:rPr>
        <w:t xml:space="preserve">por pagar </w:t>
      </w:r>
      <w:r>
        <w:rPr>
          <w:sz w:val="22"/>
          <w:szCs w:val="22"/>
          <w:lang w:val="es-MX"/>
        </w:rPr>
        <w:t xml:space="preserve">en la cuenta de cuentas por pagar </w:t>
      </w:r>
      <w:r w:rsidRPr="00BC479A">
        <w:rPr>
          <w:sz w:val="22"/>
          <w:szCs w:val="22"/>
          <w:lang w:val="es-MX"/>
        </w:rPr>
        <w:t>por la cantidad de $</w:t>
      </w:r>
      <w:r>
        <w:rPr>
          <w:sz w:val="22"/>
          <w:szCs w:val="22"/>
          <w:lang w:val="es-MX"/>
        </w:rPr>
        <w:t>1,541,730.15</w:t>
      </w:r>
      <w:r w:rsidRPr="00BC479A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 xml:space="preserve">Un millón quinientos cuarenta y </w:t>
      </w:r>
      <w:proofErr w:type="gramStart"/>
      <w:r>
        <w:rPr>
          <w:sz w:val="22"/>
          <w:szCs w:val="22"/>
          <w:lang w:val="es-MX"/>
        </w:rPr>
        <w:t>un mil setecientos treinta pesos</w:t>
      </w:r>
      <w:proofErr w:type="gramEnd"/>
      <w:r>
        <w:rPr>
          <w:sz w:val="22"/>
          <w:szCs w:val="22"/>
          <w:lang w:val="es-MX"/>
        </w:rPr>
        <w:t xml:space="preserve"> 15</w:t>
      </w:r>
      <w:r w:rsidRPr="00BC479A">
        <w:rPr>
          <w:sz w:val="22"/>
          <w:szCs w:val="22"/>
          <w:lang w:val="es-MX"/>
        </w:rPr>
        <w:t>/100 M.N.)</w:t>
      </w:r>
      <w:r>
        <w:rPr>
          <w:sz w:val="22"/>
          <w:szCs w:val="22"/>
          <w:lang w:val="es-MX"/>
        </w:rPr>
        <w:t xml:space="preserve">.  </w:t>
      </w:r>
    </w:p>
    <w:p w14:paraId="0C29D9AC" w14:textId="77777777" w:rsidR="00AE1A37" w:rsidRDefault="00AE1A37" w:rsidP="00AE1A37">
      <w:pPr>
        <w:pStyle w:val="ROMANOS"/>
        <w:spacing w:after="0" w:line="240" w:lineRule="exact"/>
        <w:ind w:left="288" w:firstLine="0"/>
        <w:rPr>
          <w:sz w:val="22"/>
          <w:szCs w:val="22"/>
          <w:lang w:val="es-MX"/>
        </w:rPr>
      </w:pPr>
    </w:p>
    <w:p w14:paraId="3C904E23" w14:textId="77777777" w:rsidR="00AE1A37" w:rsidRPr="00446432" w:rsidRDefault="00AE1A37" w:rsidP="00AE1A37">
      <w:pPr>
        <w:pStyle w:val="ROMANOS"/>
        <w:numPr>
          <w:ilvl w:val="0"/>
          <w:numId w:val="7"/>
        </w:numPr>
        <w:spacing w:after="0" w:line="240" w:lineRule="exact"/>
        <w:rPr>
          <w:sz w:val="22"/>
          <w:szCs w:val="22"/>
          <w:lang w:val="es-MX"/>
        </w:rPr>
      </w:pPr>
      <w:r w:rsidRPr="00446432">
        <w:rPr>
          <w:sz w:val="22"/>
          <w:szCs w:val="22"/>
          <w:lang w:val="es-MX"/>
        </w:rPr>
        <w:t>De igual forma tiene otras cuentas por pagar por concepto de Impuestos por pagar por la cantidad de $164,444.23</w:t>
      </w:r>
      <w:r>
        <w:rPr>
          <w:sz w:val="22"/>
          <w:szCs w:val="22"/>
          <w:lang w:val="es-MX"/>
        </w:rPr>
        <w:t>, retenciones por sueldos y salarios $34,386.83</w:t>
      </w:r>
      <w:r w:rsidRPr="00446432">
        <w:rPr>
          <w:sz w:val="22"/>
          <w:szCs w:val="22"/>
          <w:lang w:val="es-MX"/>
        </w:rPr>
        <w:t xml:space="preserve"> la cuenta del 10% retenidos por pagos a personas físicas por la cantidad $</w:t>
      </w:r>
      <w:r>
        <w:rPr>
          <w:sz w:val="22"/>
          <w:szCs w:val="22"/>
          <w:lang w:val="es-MX"/>
        </w:rPr>
        <w:t>25</w:t>
      </w:r>
      <w:r w:rsidRPr="00446432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956.39</w:t>
      </w:r>
      <w:r w:rsidRPr="00446432">
        <w:rPr>
          <w:sz w:val="22"/>
          <w:szCs w:val="22"/>
          <w:lang w:val="es-MX"/>
        </w:rPr>
        <w:t xml:space="preserve"> Derechos y cuotas por pagar $10,472.00, correspondiente al 2% sobre remuneración al trabajo correspondiente al mes de </w:t>
      </w:r>
      <w:r>
        <w:rPr>
          <w:sz w:val="22"/>
          <w:szCs w:val="22"/>
          <w:lang w:val="es-MX"/>
        </w:rPr>
        <w:t>junio</w:t>
      </w:r>
      <w:r w:rsidRPr="00446432">
        <w:rPr>
          <w:sz w:val="22"/>
          <w:szCs w:val="22"/>
          <w:lang w:val="es-MX"/>
        </w:rPr>
        <w:t xml:space="preserve"> a pagarse en el mes de enero </w:t>
      </w:r>
      <w:r>
        <w:rPr>
          <w:sz w:val="22"/>
          <w:szCs w:val="22"/>
          <w:lang w:val="es-MX"/>
        </w:rPr>
        <w:t>2022</w:t>
      </w:r>
      <w:r w:rsidRPr="00446432">
        <w:rPr>
          <w:sz w:val="22"/>
          <w:szCs w:val="22"/>
          <w:lang w:val="es-MX"/>
        </w:rPr>
        <w:t xml:space="preserve"> y $109,302.41 por concepto de fondo de ahorro para los empleados. </w:t>
      </w:r>
    </w:p>
    <w:p w14:paraId="07126677" w14:textId="77777777" w:rsidR="00AE1A37" w:rsidRPr="007B41AF" w:rsidRDefault="00AE1A37" w:rsidP="00AE1A37">
      <w:pPr>
        <w:pStyle w:val="Prrafodelista"/>
        <w:rPr>
          <w:lang w:val="es-ES"/>
        </w:rPr>
      </w:pPr>
    </w:p>
    <w:p w14:paraId="67F19D39" w14:textId="77777777" w:rsidR="00AE1A37" w:rsidRDefault="00AE1A37" w:rsidP="00AE1A37">
      <w:pPr>
        <w:pStyle w:val="ROMANOS"/>
        <w:numPr>
          <w:ilvl w:val="0"/>
          <w:numId w:val="7"/>
        </w:numPr>
        <w:spacing w:after="0" w:line="240" w:lineRule="exact"/>
        <w:ind w:left="709"/>
        <w:rPr>
          <w:sz w:val="22"/>
          <w:szCs w:val="22"/>
        </w:rPr>
      </w:pPr>
      <w:proofErr w:type="gramStart"/>
      <w:r w:rsidRPr="00385E7B">
        <w:rPr>
          <w:sz w:val="22"/>
          <w:szCs w:val="22"/>
        </w:rPr>
        <w:t>Asimismo</w:t>
      </w:r>
      <w:proofErr w:type="gramEnd"/>
      <w:r>
        <w:rPr>
          <w:sz w:val="22"/>
          <w:szCs w:val="22"/>
        </w:rPr>
        <w:t xml:space="preserve"> el Fideicomiso Guerrero Industrial mantiene un pasivo contingente al 31 de Junio 2022, como sigue: $291,014.06</w:t>
      </w:r>
    </w:p>
    <w:p w14:paraId="3B29842D" w14:textId="77777777" w:rsidR="00AE1A37" w:rsidRPr="001747B1" w:rsidRDefault="00AE1A37" w:rsidP="00AE1A37">
      <w:pPr>
        <w:pStyle w:val="Prrafodelista"/>
        <w:rPr>
          <w:lang w:val="es-ES"/>
        </w:rPr>
      </w:pPr>
    </w:p>
    <w:tbl>
      <w:tblPr>
        <w:tblW w:w="86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177"/>
        <w:gridCol w:w="4390"/>
        <w:gridCol w:w="236"/>
      </w:tblGrid>
      <w:tr w:rsidR="00AE1A37" w:rsidRPr="00E21BDA" w14:paraId="423B08B0" w14:textId="77777777" w:rsidTr="00EB2128">
        <w:trPr>
          <w:trHeight w:val="651"/>
        </w:trPr>
        <w:tc>
          <w:tcPr>
            <w:tcW w:w="1893" w:type="dxa"/>
            <w:shd w:val="clear" w:color="auto" w:fill="auto"/>
          </w:tcPr>
          <w:p w14:paraId="42C07E7A" w14:textId="77777777" w:rsidR="00AE1A37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eventos</w:t>
            </w:r>
          </w:p>
          <w:p w14:paraId="6DC0D6C6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shd w:val="clear" w:color="auto" w:fill="auto"/>
          </w:tcPr>
          <w:p w14:paraId="19FC5C93" w14:textId="77777777" w:rsidR="00AE1A37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origen de la obligación.</w:t>
            </w:r>
          </w:p>
          <w:p w14:paraId="01782396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 w:rsidRPr="00E21BDA">
              <w:rPr>
                <w:sz w:val="22"/>
                <w:szCs w:val="22"/>
              </w:rPr>
              <w:t>.</w:t>
            </w:r>
          </w:p>
        </w:tc>
        <w:tc>
          <w:tcPr>
            <w:tcW w:w="4390" w:type="dxa"/>
            <w:shd w:val="clear" w:color="auto" w:fill="auto"/>
          </w:tcPr>
          <w:p w14:paraId="78F9DD19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 w:rsidRPr="00E21BDA">
              <w:rPr>
                <w:sz w:val="22"/>
                <w:szCs w:val="22"/>
              </w:rPr>
              <w:t xml:space="preserve"> Autoridad ante la que se gestiona</w:t>
            </w:r>
          </w:p>
        </w:tc>
        <w:tc>
          <w:tcPr>
            <w:tcW w:w="236" w:type="dxa"/>
            <w:shd w:val="clear" w:color="auto" w:fill="auto"/>
          </w:tcPr>
          <w:p w14:paraId="24A3FD59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rPr>
                <w:sz w:val="22"/>
                <w:szCs w:val="22"/>
              </w:rPr>
            </w:pPr>
          </w:p>
        </w:tc>
      </w:tr>
      <w:tr w:rsidR="00AE1A37" w:rsidRPr="00E21BDA" w14:paraId="12DB7D37" w14:textId="77777777" w:rsidTr="00EB2128">
        <w:trPr>
          <w:trHeight w:val="638"/>
        </w:trPr>
        <w:tc>
          <w:tcPr>
            <w:tcW w:w="1893" w:type="dxa"/>
            <w:shd w:val="clear" w:color="auto" w:fill="auto"/>
            <w:vAlign w:val="center"/>
          </w:tcPr>
          <w:p w14:paraId="6DC91B1B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77" w:type="dxa"/>
            <w:shd w:val="clear" w:color="auto" w:fill="auto"/>
          </w:tcPr>
          <w:p w14:paraId="5721CC79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09/05/2018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46AE2CED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Junta de Conciliación y Arbitraje en  Acapulco, Gro.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2FE5A50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AE1A37" w:rsidRPr="00E21BDA" w14:paraId="20D49175" w14:textId="77777777" w:rsidTr="00EB2128">
        <w:trPr>
          <w:trHeight w:val="221"/>
        </w:trPr>
        <w:tc>
          <w:tcPr>
            <w:tcW w:w="1893" w:type="dxa"/>
            <w:shd w:val="clear" w:color="auto" w:fill="auto"/>
          </w:tcPr>
          <w:p w14:paraId="095F6BC5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77" w:type="dxa"/>
            <w:shd w:val="clear" w:color="auto" w:fill="auto"/>
          </w:tcPr>
          <w:p w14:paraId="2CB60E4E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390" w:type="dxa"/>
            <w:shd w:val="clear" w:color="auto" w:fill="auto"/>
          </w:tcPr>
          <w:p w14:paraId="5F4F807B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800C6BA" w14:textId="77777777" w:rsidR="00AE1A37" w:rsidRPr="00E21BDA" w:rsidRDefault="00AE1A37" w:rsidP="00EB2128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5DCFEB6" w14:textId="77777777" w:rsidR="00AE1A37" w:rsidRDefault="00AE1A37" w:rsidP="00AE1A37">
      <w:pPr>
        <w:pStyle w:val="ROMANOS"/>
        <w:spacing w:after="0" w:line="240" w:lineRule="exact"/>
        <w:rPr>
          <w:sz w:val="22"/>
          <w:szCs w:val="22"/>
        </w:rPr>
      </w:pPr>
    </w:p>
    <w:p w14:paraId="5A24515A" w14:textId="77777777" w:rsidR="00AE1A37" w:rsidRDefault="00AE1A37" w:rsidP="00AE1A37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3E51BD3E" w14:textId="77777777" w:rsidR="00AE1A37" w:rsidRPr="00BC479A" w:rsidRDefault="00AE1A37" w:rsidP="00AE1A37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BC479A">
        <w:rPr>
          <w:b/>
          <w:smallCaps/>
          <w:sz w:val="22"/>
          <w:szCs w:val="22"/>
        </w:rPr>
        <w:t>II)</w:t>
      </w:r>
      <w:r w:rsidRPr="00BC479A">
        <w:rPr>
          <w:b/>
          <w:smallCaps/>
          <w:sz w:val="22"/>
          <w:szCs w:val="22"/>
        </w:rPr>
        <w:tab/>
        <w:t>Notas al Estado de Actividades</w:t>
      </w:r>
    </w:p>
    <w:p w14:paraId="60D5BB4E" w14:textId="77777777" w:rsidR="00AE1A37" w:rsidRPr="00BC479A" w:rsidRDefault="00AE1A37" w:rsidP="00AE1A37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027F79A1" w14:textId="77777777" w:rsidR="00AE1A37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Ingresos de Gestión</w:t>
      </w:r>
    </w:p>
    <w:p w14:paraId="6F69C43E" w14:textId="77777777" w:rsidR="00AE1A37" w:rsidRPr="00BC479A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479A658D" w14:textId="77777777" w:rsidR="00AE1A37" w:rsidRPr="006109B4" w:rsidRDefault="00AE1A37" w:rsidP="00AE1A37">
      <w:pPr>
        <w:pStyle w:val="ROMANOS"/>
        <w:numPr>
          <w:ilvl w:val="0"/>
          <w:numId w:val="6"/>
        </w:numPr>
        <w:spacing w:after="0" w:line="240" w:lineRule="exact"/>
        <w:ind w:firstLine="0"/>
        <w:rPr>
          <w:b/>
          <w:sz w:val="22"/>
          <w:szCs w:val="22"/>
          <w:lang w:val="es-MX"/>
        </w:rPr>
      </w:pPr>
      <w:r w:rsidRPr="006109B4">
        <w:rPr>
          <w:sz w:val="22"/>
          <w:szCs w:val="22"/>
          <w:lang w:val="es-MX"/>
        </w:rPr>
        <w:t xml:space="preserve">El Fideicomiso obtuvo ingresos en el periodo Enero a </w:t>
      </w:r>
      <w:proofErr w:type="gramStart"/>
      <w:r>
        <w:rPr>
          <w:sz w:val="22"/>
          <w:szCs w:val="22"/>
          <w:lang w:val="es-MX"/>
        </w:rPr>
        <w:t>Junio</w:t>
      </w:r>
      <w:proofErr w:type="gramEnd"/>
      <w:r>
        <w:rPr>
          <w:sz w:val="22"/>
          <w:szCs w:val="22"/>
          <w:lang w:val="es-MX"/>
        </w:rPr>
        <w:t xml:space="preserve"> 2022</w:t>
      </w:r>
      <w:r w:rsidRPr="006109B4">
        <w:rPr>
          <w:sz w:val="22"/>
          <w:szCs w:val="22"/>
          <w:lang w:val="es-MX"/>
        </w:rPr>
        <w:t>, provenientes por subsidios y aportaciones del Gobierno del Estado por la cantidad de $</w:t>
      </w:r>
      <w:r>
        <w:rPr>
          <w:sz w:val="22"/>
          <w:szCs w:val="22"/>
          <w:lang w:val="es-MX"/>
        </w:rPr>
        <w:t>3</w:t>
      </w:r>
      <w:r w:rsidRPr="006109B4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117,147.72</w:t>
      </w:r>
      <w:r w:rsidRPr="006109B4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Tres m</w:t>
      </w:r>
      <w:r w:rsidRPr="006109B4">
        <w:rPr>
          <w:sz w:val="22"/>
          <w:szCs w:val="22"/>
          <w:lang w:val="es-MX"/>
        </w:rPr>
        <w:t>ill</w:t>
      </w:r>
      <w:r>
        <w:rPr>
          <w:sz w:val="22"/>
          <w:szCs w:val="22"/>
          <w:lang w:val="es-MX"/>
        </w:rPr>
        <w:t>o</w:t>
      </w:r>
      <w:r w:rsidRPr="006109B4">
        <w:rPr>
          <w:sz w:val="22"/>
          <w:szCs w:val="22"/>
          <w:lang w:val="es-MX"/>
        </w:rPr>
        <w:t>n</w:t>
      </w:r>
      <w:r>
        <w:rPr>
          <w:sz w:val="22"/>
          <w:szCs w:val="22"/>
          <w:lang w:val="es-MX"/>
        </w:rPr>
        <w:t>es</w:t>
      </w:r>
      <w:r w:rsidRPr="006109B4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ciento diecisiete mil ciento cuarenta y siete mil p</w:t>
      </w:r>
      <w:r w:rsidRPr="006109B4">
        <w:rPr>
          <w:sz w:val="22"/>
          <w:szCs w:val="22"/>
          <w:lang w:val="es-MX"/>
        </w:rPr>
        <w:t xml:space="preserve">esos </w:t>
      </w:r>
      <w:r>
        <w:rPr>
          <w:sz w:val="22"/>
          <w:szCs w:val="22"/>
          <w:lang w:val="es-MX"/>
        </w:rPr>
        <w:t>72</w:t>
      </w:r>
      <w:r w:rsidRPr="006109B4">
        <w:rPr>
          <w:sz w:val="22"/>
          <w:szCs w:val="22"/>
          <w:lang w:val="es-MX"/>
        </w:rPr>
        <w:t xml:space="preserve">/100 M.N.); Ingresos propios por la </w:t>
      </w:r>
      <w:r>
        <w:rPr>
          <w:sz w:val="22"/>
          <w:szCs w:val="22"/>
          <w:lang w:val="es-MX"/>
        </w:rPr>
        <w:t xml:space="preserve">renta y venta </w:t>
      </w:r>
      <w:r w:rsidRPr="006109B4">
        <w:rPr>
          <w:sz w:val="22"/>
          <w:szCs w:val="22"/>
          <w:lang w:val="es-MX"/>
        </w:rPr>
        <w:t>de bienes inmobiliarios por la cantidad de $</w:t>
      </w:r>
      <w:r>
        <w:rPr>
          <w:sz w:val="22"/>
          <w:szCs w:val="22"/>
          <w:lang w:val="es-MX"/>
        </w:rPr>
        <w:t>342,000</w:t>
      </w:r>
      <w:r w:rsidRPr="006109B4">
        <w:rPr>
          <w:sz w:val="22"/>
          <w:szCs w:val="22"/>
          <w:lang w:val="es-MX"/>
        </w:rPr>
        <w:t>.00 (</w:t>
      </w:r>
      <w:r>
        <w:rPr>
          <w:sz w:val="22"/>
          <w:szCs w:val="22"/>
          <w:lang w:val="es-MX"/>
        </w:rPr>
        <w:t>Trescientos cuarenta y dos mil</w:t>
      </w:r>
      <w:r w:rsidRPr="006109B4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p</w:t>
      </w:r>
      <w:r w:rsidRPr="006109B4">
        <w:rPr>
          <w:sz w:val="22"/>
          <w:szCs w:val="22"/>
          <w:lang w:val="es-MX"/>
        </w:rPr>
        <w:t xml:space="preserve">esos </w:t>
      </w:r>
      <w:r>
        <w:rPr>
          <w:sz w:val="22"/>
          <w:szCs w:val="22"/>
          <w:lang w:val="es-MX"/>
        </w:rPr>
        <w:t>00</w:t>
      </w:r>
      <w:r w:rsidRPr="006109B4">
        <w:rPr>
          <w:sz w:val="22"/>
          <w:szCs w:val="22"/>
          <w:lang w:val="es-MX"/>
        </w:rPr>
        <w:t xml:space="preserve">/100 M.N).  </w:t>
      </w:r>
    </w:p>
    <w:p w14:paraId="0936B9B4" w14:textId="77777777" w:rsidR="00AE1A37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137EDBF3" w14:textId="77777777" w:rsidR="00AE1A37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Gastos y Otras Pérdidas:</w:t>
      </w:r>
    </w:p>
    <w:p w14:paraId="04C8BD8A" w14:textId="77777777" w:rsidR="00AE1A37" w:rsidRPr="00BC479A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241C1CD1" w14:textId="77777777" w:rsidR="00AE1A37" w:rsidRPr="00BC479A" w:rsidRDefault="00AE1A37" w:rsidP="00AE1A37">
      <w:pPr>
        <w:pStyle w:val="ROMANOS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exact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t xml:space="preserve">El </w:t>
      </w:r>
      <w:r>
        <w:rPr>
          <w:sz w:val="22"/>
          <w:szCs w:val="22"/>
          <w:lang w:val="es-MX"/>
        </w:rPr>
        <w:t>F</w:t>
      </w:r>
      <w:r w:rsidRPr="00BC479A">
        <w:rPr>
          <w:sz w:val="22"/>
          <w:szCs w:val="22"/>
          <w:lang w:val="es-MX"/>
        </w:rPr>
        <w:t>ideicomiso tubo en el ejercicio un gasto de administración por la cantidad siguiente; Capitulo 1000 por concepto de Gastos</w:t>
      </w:r>
      <w:r>
        <w:rPr>
          <w:sz w:val="22"/>
          <w:szCs w:val="22"/>
          <w:lang w:val="es-MX"/>
        </w:rPr>
        <w:t xml:space="preserve"> de</w:t>
      </w:r>
      <w:r w:rsidRPr="00BC479A">
        <w:rPr>
          <w:sz w:val="22"/>
          <w:szCs w:val="22"/>
          <w:lang w:val="es-MX"/>
        </w:rPr>
        <w:t xml:space="preserve"> Servicios Personales la cantidad de $</w:t>
      </w:r>
      <w:r>
        <w:rPr>
          <w:sz w:val="22"/>
          <w:szCs w:val="22"/>
          <w:lang w:val="es-MX"/>
        </w:rPr>
        <w:t>2,501,129.94 (Dos millones quinientos un mil ciento veintinueve pesos 97/100 M.N.)</w:t>
      </w:r>
      <w:r w:rsidRPr="00BC479A">
        <w:rPr>
          <w:sz w:val="22"/>
          <w:szCs w:val="22"/>
          <w:lang w:val="es-MX"/>
        </w:rPr>
        <w:t xml:space="preserve">; </w:t>
      </w:r>
      <w:r>
        <w:rPr>
          <w:sz w:val="22"/>
          <w:szCs w:val="22"/>
          <w:lang w:val="es-MX"/>
        </w:rPr>
        <w:t>C</w:t>
      </w:r>
      <w:r w:rsidRPr="00BC479A">
        <w:rPr>
          <w:sz w:val="22"/>
          <w:szCs w:val="22"/>
          <w:lang w:val="es-MX"/>
        </w:rPr>
        <w:t xml:space="preserve">apitulo 2000 por concepto Materiales </w:t>
      </w:r>
      <w:r>
        <w:rPr>
          <w:sz w:val="22"/>
          <w:szCs w:val="22"/>
          <w:lang w:val="es-MX"/>
        </w:rPr>
        <w:t xml:space="preserve">y Suministros </w:t>
      </w:r>
      <w:r w:rsidRPr="00BC479A">
        <w:rPr>
          <w:sz w:val="22"/>
          <w:szCs w:val="22"/>
          <w:lang w:val="es-MX"/>
        </w:rPr>
        <w:t>la cantidad de $</w:t>
      </w:r>
      <w:r>
        <w:rPr>
          <w:sz w:val="22"/>
          <w:szCs w:val="22"/>
          <w:lang w:val="es-MX"/>
        </w:rPr>
        <w:t>119,951.92</w:t>
      </w:r>
      <w:r w:rsidRPr="00BC479A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(Ciento diecinueve mil novecientos cincuenta y un Pesos 92/100 M.N.); Capitulo 3000 </w:t>
      </w:r>
      <w:r w:rsidRPr="00BC479A">
        <w:rPr>
          <w:sz w:val="22"/>
          <w:szCs w:val="22"/>
          <w:lang w:val="es-MX"/>
        </w:rPr>
        <w:t>por concepto de Servicios Generales la cantidad de $</w:t>
      </w:r>
      <w:r>
        <w:rPr>
          <w:sz w:val="22"/>
          <w:szCs w:val="22"/>
          <w:lang w:val="es-MX"/>
        </w:rPr>
        <w:t>1,034,609.87 (Un millón treinta y cuatro mil seiscientos nueve pesos 87/100 M.N.); Teniendo un gasto de administración total del periodo por la cantidad de $3,655,691.73 (Tres millones seiscientos cincuenta y cinco mil seiscientos noventa y un mil pesos 73/100 M.N.).</w:t>
      </w:r>
    </w:p>
    <w:p w14:paraId="658A54EA" w14:textId="77777777" w:rsidR="00AE1A37" w:rsidRPr="00BC479A" w:rsidRDefault="00AE1A37" w:rsidP="00AE1A37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6E890CB" w14:textId="77777777" w:rsidR="00AE1A37" w:rsidRDefault="00AE1A37" w:rsidP="00AE1A37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230771EC" w14:textId="77777777" w:rsidR="00AE1A37" w:rsidRDefault="00AE1A37" w:rsidP="00AE1A37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BC479A">
        <w:rPr>
          <w:b/>
          <w:smallCaps/>
          <w:sz w:val="22"/>
          <w:szCs w:val="22"/>
        </w:rPr>
        <w:t>III)</w:t>
      </w:r>
      <w:r w:rsidRPr="00BC479A">
        <w:rPr>
          <w:b/>
          <w:smallCaps/>
          <w:sz w:val="22"/>
          <w:szCs w:val="22"/>
        </w:rPr>
        <w:tab/>
        <w:t>Notas al Estado de Variación en la Hacienda Pública</w:t>
      </w:r>
    </w:p>
    <w:p w14:paraId="6FAA2AB8" w14:textId="77777777" w:rsidR="00AE1A37" w:rsidRPr="00D46C5C" w:rsidRDefault="00AE1A37" w:rsidP="00AE1A37">
      <w:pPr>
        <w:pStyle w:val="ROMANOS"/>
        <w:spacing w:after="0" w:line="240" w:lineRule="exact"/>
        <w:ind w:left="0" w:firstLine="0"/>
        <w:rPr>
          <w:sz w:val="22"/>
          <w:szCs w:val="22"/>
        </w:rPr>
      </w:pPr>
    </w:p>
    <w:p w14:paraId="6E35D9B0" w14:textId="77777777" w:rsidR="00AE1A37" w:rsidRPr="00BC479A" w:rsidRDefault="00AE1A37" w:rsidP="00AE1A37">
      <w:pPr>
        <w:pStyle w:val="Texto"/>
        <w:spacing w:after="0" w:line="240" w:lineRule="exact"/>
        <w:ind w:firstLine="0"/>
        <w:jc w:val="center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NOTAS DE GESTIÓN ADMINISTRATIVA</w:t>
      </w:r>
    </w:p>
    <w:p w14:paraId="22ED3717" w14:textId="77777777" w:rsidR="00AE1A37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01673477" w14:textId="77777777" w:rsidR="00AE1A37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6F547B2A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</w:rPr>
      </w:pPr>
      <w:r w:rsidRPr="00BC479A">
        <w:rPr>
          <w:b/>
          <w:sz w:val="22"/>
          <w:szCs w:val="22"/>
          <w:lang w:val="es-MX"/>
        </w:rPr>
        <w:t>1.</w:t>
      </w:r>
      <w:r w:rsidRPr="00BC479A">
        <w:rPr>
          <w:b/>
          <w:sz w:val="22"/>
          <w:szCs w:val="22"/>
          <w:lang w:val="es-MX"/>
        </w:rPr>
        <w:tab/>
        <w:t>Introducción</w:t>
      </w:r>
    </w:p>
    <w:p w14:paraId="1705F478" w14:textId="7777777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>Los Estados Financieros de los entes públicos, proveen de información financiera a los principales usuarios de la misma, al Congreso y a los ciudadanos.</w:t>
      </w:r>
    </w:p>
    <w:p w14:paraId="5A80687F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</w:p>
    <w:p w14:paraId="0B35C63A" w14:textId="7777777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29025CBD" w14:textId="77777777" w:rsidR="00AE1A37" w:rsidRDefault="00AE1A37" w:rsidP="00AE1A37">
      <w:pPr>
        <w:pStyle w:val="Texto"/>
        <w:spacing w:after="0" w:line="240" w:lineRule="exact"/>
        <w:rPr>
          <w:sz w:val="22"/>
          <w:szCs w:val="22"/>
        </w:rPr>
      </w:pPr>
    </w:p>
    <w:p w14:paraId="5AAC84F1" w14:textId="7777777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2774F9ED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DA4D3E9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2.</w:t>
      </w:r>
      <w:r w:rsidRPr="00BC479A">
        <w:rPr>
          <w:b/>
          <w:sz w:val="22"/>
          <w:szCs w:val="22"/>
          <w:lang w:val="es-MX"/>
        </w:rPr>
        <w:tab/>
        <w:t>Panorama Económico y Financiero</w:t>
      </w:r>
    </w:p>
    <w:p w14:paraId="4762712E" w14:textId="7777777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lastRenderedPageBreak/>
        <w:t>El Fideicomiso oper</w:t>
      </w:r>
      <w:r>
        <w:rPr>
          <w:sz w:val="22"/>
          <w:szCs w:val="22"/>
        </w:rPr>
        <w:t>a</w:t>
      </w:r>
      <w:r w:rsidRPr="00BC479A">
        <w:rPr>
          <w:sz w:val="22"/>
          <w:szCs w:val="22"/>
        </w:rPr>
        <w:t xml:space="preserve"> principalmente sobre la</w:t>
      </w:r>
      <w:r>
        <w:rPr>
          <w:sz w:val="22"/>
          <w:szCs w:val="22"/>
        </w:rPr>
        <w:t>s</w:t>
      </w:r>
      <w:r w:rsidRPr="00BC479A">
        <w:rPr>
          <w:sz w:val="22"/>
          <w:szCs w:val="22"/>
        </w:rPr>
        <w:t xml:space="preserve"> condiciones económico- financieras, que </w:t>
      </w:r>
      <w:r>
        <w:rPr>
          <w:sz w:val="22"/>
          <w:szCs w:val="22"/>
        </w:rPr>
        <w:t xml:space="preserve">han </w:t>
      </w:r>
      <w:r w:rsidRPr="00BC479A">
        <w:rPr>
          <w:sz w:val="22"/>
          <w:szCs w:val="22"/>
        </w:rPr>
        <w:t>permiti</w:t>
      </w:r>
      <w:r>
        <w:rPr>
          <w:sz w:val="22"/>
          <w:szCs w:val="22"/>
        </w:rPr>
        <w:t>do</w:t>
      </w:r>
      <w:r w:rsidRPr="00BC479A">
        <w:rPr>
          <w:sz w:val="22"/>
          <w:szCs w:val="22"/>
        </w:rPr>
        <w:t xml:space="preserve"> el desarrollo inmobiliario en el Parque Industrial Guerrero</w:t>
      </w:r>
      <w:r>
        <w:rPr>
          <w:sz w:val="22"/>
          <w:szCs w:val="22"/>
        </w:rPr>
        <w:t xml:space="preserve"> con recursos federales. Actualmente existe insuficiencia </w:t>
      </w:r>
      <w:r w:rsidRPr="00BC479A">
        <w:rPr>
          <w:sz w:val="22"/>
          <w:szCs w:val="22"/>
        </w:rPr>
        <w:t xml:space="preserve">económica para cubrir los pasivos que se </w:t>
      </w:r>
      <w:r>
        <w:rPr>
          <w:sz w:val="22"/>
          <w:szCs w:val="22"/>
        </w:rPr>
        <w:t xml:space="preserve">han </w:t>
      </w:r>
      <w:r w:rsidRPr="00BC479A">
        <w:rPr>
          <w:sz w:val="22"/>
          <w:szCs w:val="22"/>
        </w:rPr>
        <w:t>genera</w:t>
      </w:r>
      <w:r>
        <w:rPr>
          <w:sz w:val="22"/>
          <w:szCs w:val="22"/>
        </w:rPr>
        <w:t>do</w:t>
      </w:r>
      <w:r w:rsidRPr="00BC479A">
        <w:rPr>
          <w:sz w:val="22"/>
          <w:szCs w:val="22"/>
        </w:rPr>
        <w:t>,</w:t>
      </w:r>
      <w:r>
        <w:rPr>
          <w:sz w:val="22"/>
          <w:szCs w:val="22"/>
        </w:rPr>
        <w:t xml:space="preserve"> debido a la poca captación de recursos propios por la venta y/o renta de lotes y/o naves industriales debido a la inseguridad por la que atraviesa el Estado, haciendo frente a sus gastos de operación con los recursos por transferencias del subsidio por parte del Gobierno del Estado y algunas veces por ingresos propios.</w:t>
      </w:r>
    </w:p>
    <w:p w14:paraId="269CBBE4" w14:textId="77777777" w:rsidR="00AE1A37" w:rsidRDefault="00AE1A37" w:rsidP="00AE1A37">
      <w:pPr>
        <w:pStyle w:val="Texto"/>
        <w:spacing w:after="0" w:line="240" w:lineRule="exact"/>
        <w:rPr>
          <w:sz w:val="22"/>
          <w:szCs w:val="22"/>
        </w:rPr>
      </w:pPr>
    </w:p>
    <w:p w14:paraId="65E0ECEC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</w:p>
    <w:p w14:paraId="00EE0470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3.</w:t>
      </w:r>
      <w:r w:rsidRPr="00BC479A">
        <w:rPr>
          <w:b/>
          <w:sz w:val="22"/>
          <w:szCs w:val="22"/>
          <w:lang w:val="es-MX"/>
        </w:rPr>
        <w:tab/>
        <w:t>Autorización e Historia</w:t>
      </w:r>
    </w:p>
    <w:p w14:paraId="462CE2FA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Se informará sobre:</w:t>
      </w:r>
    </w:p>
    <w:p w14:paraId="430C63B1" w14:textId="77777777" w:rsidR="00AE1A37" w:rsidRDefault="00AE1A37" w:rsidP="00AE1A37">
      <w:pPr>
        <w:pStyle w:val="INCISO"/>
        <w:numPr>
          <w:ilvl w:val="0"/>
          <w:numId w:val="8"/>
        </w:numPr>
        <w:spacing w:after="0" w:line="240" w:lineRule="exact"/>
        <w:ind w:left="709"/>
        <w:rPr>
          <w:sz w:val="22"/>
          <w:szCs w:val="22"/>
        </w:rPr>
      </w:pPr>
      <w:r>
        <w:rPr>
          <w:sz w:val="22"/>
          <w:szCs w:val="22"/>
        </w:rPr>
        <w:t>Fecha de creación del E</w:t>
      </w:r>
      <w:r w:rsidRPr="00BC479A">
        <w:rPr>
          <w:sz w:val="22"/>
          <w:szCs w:val="22"/>
        </w:rPr>
        <w:t xml:space="preserve">nte </w:t>
      </w:r>
      <w:r>
        <w:rPr>
          <w:sz w:val="22"/>
          <w:szCs w:val="22"/>
        </w:rPr>
        <w:t>09</w:t>
      </w:r>
      <w:r w:rsidRPr="00BC479A">
        <w:rPr>
          <w:sz w:val="22"/>
          <w:szCs w:val="22"/>
        </w:rPr>
        <w:t xml:space="preserve"> de </w:t>
      </w:r>
      <w:r>
        <w:rPr>
          <w:sz w:val="22"/>
          <w:szCs w:val="22"/>
        </w:rPr>
        <w:t>mayo del</w:t>
      </w:r>
      <w:r w:rsidRPr="00BC479A">
        <w:rPr>
          <w:sz w:val="22"/>
          <w:szCs w:val="22"/>
        </w:rPr>
        <w:t xml:space="preserve"> 20</w:t>
      </w:r>
      <w:r>
        <w:rPr>
          <w:sz w:val="22"/>
          <w:szCs w:val="22"/>
        </w:rPr>
        <w:t>08</w:t>
      </w:r>
      <w:r w:rsidRPr="00BC479A">
        <w:rPr>
          <w:sz w:val="22"/>
          <w:szCs w:val="22"/>
        </w:rPr>
        <w:t>.</w:t>
      </w:r>
    </w:p>
    <w:p w14:paraId="4D595E8F" w14:textId="77777777" w:rsidR="00AE1A37" w:rsidRPr="00BC479A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788D64F2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b)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El Fideicomiso no ha tenido cambios en su estructura.</w:t>
      </w:r>
    </w:p>
    <w:p w14:paraId="63667F50" w14:textId="77777777" w:rsidR="00AE1A37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6E2F1360" w14:textId="77777777" w:rsidR="00AE1A37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1F07389F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4.</w:t>
      </w:r>
      <w:r w:rsidRPr="00BC479A">
        <w:rPr>
          <w:b/>
          <w:sz w:val="22"/>
          <w:szCs w:val="22"/>
          <w:lang w:val="es-MX"/>
        </w:rPr>
        <w:tab/>
        <w:t>Organización y Objeto Social</w:t>
      </w:r>
    </w:p>
    <w:p w14:paraId="7313F138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C479A">
        <w:rPr>
          <w:sz w:val="22"/>
          <w:szCs w:val="22"/>
        </w:rPr>
        <w:t>Se informará sobre:</w:t>
      </w:r>
    </w:p>
    <w:p w14:paraId="5F19D9CB" w14:textId="77777777" w:rsidR="00AE1A37" w:rsidRPr="00BC479A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C479A">
        <w:rPr>
          <w:sz w:val="22"/>
          <w:szCs w:val="22"/>
        </w:rPr>
        <w:t>a)</w:t>
      </w:r>
      <w:r w:rsidRPr="00BC479A">
        <w:rPr>
          <w:sz w:val="22"/>
          <w:szCs w:val="22"/>
        </w:rPr>
        <w:tab/>
        <w:t>Objeto social: El Desarrollo Económico en la Entidad.</w:t>
      </w:r>
    </w:p>
    <w:p w14:paraId="7DC522AD" w14:textId="77777777" w:rsidR="00AE1A37" w:rsidRPr="00BC479A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C479A">
        <w:rPr>
          <w:sz w:val="22"/>
          <w:szCs w:val="22"/>
        </w:rPr>
        <w:t>b)</w:t>
      </w:r>
      <w:r w:rsidRPr="00BC479A">
        <w:rPr>
          <w:sz w:val="22"/>
          <w:szCs w:val="22"/>
        </w:rPr>
        <w:tab/>
        <w:t xml:space="preserve">Principal actividad: </w:t>
      </w:r>
      <w:r>
        <w:rPr>
          <w:sz w:val="22"/>
          <w:szCs w:val="22"/>
        </w:rPr>
        <w:t>Fomentar l</w:t>
      </w:r>
      <w:r w:rsidRPr="00BC479A">
        <w:rPr>
          <w:sz w:val="22"/>
          <w:szCs w:val="22"/>
        </w:rPr>
        <w:t>a industria</w:t>
      </w:r>
      <w:r>
        <w:rPr>
          <w:sz w:val="22"/>
          <w:szCs w:val="22"/>
        </w:rPr>
        <w:t xml:space="preserve"> en el Parque Industrial</w:t>
      </w:r>
      <w:r w:rsidRPr="00BC479A">
        <w:rPr>
          <w:sz w:val="22"/>
          <w:szCs w:val="22"/>
        </w:rPr>
        <w:t>.</w:t>
      </w:r>
    </w:p>
    <w:p w14:paraId="0ED03033" w14:textId="77777777" w:rsidR="00AE1A37" w:rsidRPr="00BC479A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C479A">
        <w:rPr>
          <w:sz w:val="22"/>
          <w:szCs w:val="22"/>
        </w:rPr>
        <w:t>c)</w:t>
      </w:r>
      <w:r>
        <w:rPr>
          <w:sz w:val="22"/>
          <w:szCs w:val="22"/>
        </w:rPr>
        <w:t xml:space="preserve">    Informe financiero </w:t>
      </w:r>
      <w:proofErr w:type="gramStart"/>
      <w:r>
        <w:rPr>
          <w:sz w:val="22"/>
          <w:szCs w:val="22"/>
        </w:rPr>
        <w:t>Enero</w:t>
      </w:r>
      <w:proofErr w:type="gramEnd"/>
      <w:r>
        <w:rPr>
          <w:sz w:val="22"/>
          <w:szCs w:val="22"/>
        </w:rPr>
        <w:t xml:space="preserve"> a Junio de 2022</w:t>
      </w:r>
      <w:r w:rsidRPr="00BC479A">
        <w:rPr>
          <w:sz w:val="22"/>
          <w:szCs w:val="22"/>
        </w:rPr>
        <w:t>.</w:t>
      </w:r>
    </w:p>
    <w:p w14:paraId="63D5D6FD" w14:textId="77777777" w:rsidR="00AE1A37" w:rsidRPr="00BC479A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C479A">
        <w:rPr>
          <w:sz w:val="22"/>
          <w:szCs w:val="22"/>
        </w:rPr>
        <w:t>d)</w:t>
      </w:r>
      <w:r>
        <w:rPr>
          <w:sz w:val="22"/>
          <w:szCs w:val="22"/>
        </w:rPr>
        <w:t xml:space="preserve">    </w:t>
      </w:r>
      <w:r w:rsidRPr="00BC479A">
        <w:rPr>
          <w:sz w:val="22"/>
          <w:szCs w:val="22"/>
        </w:rPr>
        <w:t>Régimen jurídico</w:t>
      </w:r>
    </w:p>
    <w:p w14:paraId="1DA5862C" w14:textId="77777777" w:rsidR="00AE1A37" w:rsidRPr="00BC479A" w:rsidRDefault="00AE1A37" w:rsidP="00AE1A37">
      <w:pPr>
        <w:pStyle w:val="INCISO"/>
        <w:spacing w:after="0" w:line="240" w:lineRule="exact"/>
        <w:ind w:left="720" w:hanging="65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C479A">
        <w:rPr>
          <w:sz w:val="22"/>
          <w:szCs w:val="22"/>
        </w:rPr>
        <w:t>e)</w:t>
      </w:r>
      <w:r w:rsidRPr="00BC479A">
        <w:rPr>
          <w:sz w:val="22"/>
          <w:szCs w:val="22"/>
        </w:rPr>
        <w:tab/>
        <w:t xml:space="preserve">Consideraciones fiscales del ente: revelar el tipo de contribuciones que </w:t>
      </w:r>
      <w:proofErr w:type="gramStart"/>
      <w:r w:rsidRPr="00BC479A">
        <w:rPr>
          <w:sz w:val="22"/>
          <w:szCs w:val="22"/>
        </w:rPr>
        <w:t xml:space="preserve">esté </w:t>
      </w: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obligado</w:t>
      </w:r>
      <w:proofErr w:type="gramEnd"/>
      <w:r w:rsidRPr="00BC479A">
        <w:rPr>
          <w:sz w:val="22"/>
          <w:szCs w:val="22"/>
        </w:rPr>
        <w:t xml:space="preserve"> a pagar o retener: Impuesto Sobre la Renta retenidos por el concepto de sueldos y salarios; salarios asimilables a sueldos y 10% retenido a personas físicas por la prestación de  servicios </w:t>
      </w:r>
      <w:r>
        <w:rPr>
          <w:sz w:val="22"/>
          <w:szCs w:val="22"/>
        </w:rPr>
        <w:t>por</w:t>
      </w:r>
      <w:r w:rsidRPr="00BC479A">
        <w:rPr>
          <w:sz w:val="22"/>
          <w:szCs w:val="22"/>
        </w:rPr>
        <w:t xml:space="preserve"> honorarios.</w:t>
      </w:r>
    </w:p>
    <w:p w14:paraId="72190CCA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f)</w:t>
      </w:r>
      <w:r w:rsidRPr="00BC479A">
        <w:rPr>
          <w:sz w:val="22"/>
          <w:szCs w:val="22"/>
        </w:rPr>
        <w:tab/>
        <w:t xml:space="preserve">Estructura organizacional básica: Dirección General y cuatro </w:t>
      </w:r>
      <w:r>
        <w:rPr>
          <w:sz w:val="22"/>
          <w:szCs w:val="22"/>
        </w:rPr>
        <w:t>Jefaturas de D</w:t>
      </w:r>
      <w:r w:rsidRPr="00BC479A">
        <w:rPr>
          <w:sz w:val="22"/>
          <w:szCs w:val="22"/>
        </w:rPr>
        <w:t>epartamentos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Total</w:t>
      </w:r>
      <w:proofErr w:type="gramEnd"/>
      <w:r>
        <w:rPr>
          <w:sz w:val="22"/>
          <w:szCs w:val="22"/>
        </w:rPr>
        <w:t xml:space="preserve"> de Plazas 13. 12 Activas y una en Litigio.</w:t>
      </w:r>
    </w:p>
    <w:p w14:paraId="460C942C" w14:textId="77777777" w:rsidR="00AE1A37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</w:p>
    <w:p w14:paraId="6B9D4050" w14:textId="77777777" w:rsidR="00AE1A37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</w:p>
    <w:p w14:paraId="0AB91F39" w14:textId="77777777" w:rsidR="00AE1A37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g)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Fideicomisos, mandatos y análogos de los cuales es fideicomitente o fiduciario: Ninguno.</w:t>
      </w:r>
    </w:p>
    <w:p w14:paraId="7AEF7F62" w14:textId="77777777" w:rsidR="00AE1A37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50F6BCD9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5.</w:t>
      </w:r>
      <w:r w:rsidRPr="00BC479A">
        <w:rPr>
          <w:b/>
          <w:sz w:val="22"/>
          <w:szCs w:val="22"/>
          <w:lang w:val="es-MX"/>
        </w:rPr>
        <w:tab/>
        <w:t>Bases de Preparación de los Estados Financieros</w:t>
      </w:r>
    </w:p>
    <w:p w14:paraId="24B7C08D" w14:textId="77777777" w:rsidR="00AE1A37" w:rsidRPr="00BC479A" w:rsidRDefault="00AE1A37" w:rsidP="00AE1A37">
      <w:pPr>
        <w:pStyle w:val="Texto"/>
        <w:spacing w:after="0" w:line="240" w:lineRule="exact"/>
        <w:ind w:firstLine="720"/>
        <w:rPr>
          <w:sz w:val="22"/>
          <w:szCs w:val="22"/>
        </w:rPr>
      </w:pPr>
      <w:r w:rsidRPr="00BC479A">
        <w:rPr>
          <w:sz w:val="22"/>
          <w:szCs w:val="22"/>
        </w:rPr>
        <w:t>Se informará sobre:</w:t>
      </w:r>
    </w:p>
    <w:p w14:paraId="3862B465" w14:textId="77777777" w:rsidR="00AE1A37" w:rsidRPr="00BC479A" w:rsidRDefault="00AE1A37" w:rsidP="00AE1A37">
      <w:pPr>
        <w:pStyle w:val="Texto"/>
        <w:spacing w:after="0" w:line="240" w:lineRule="exact"/>
        <w:ind w:left="720" w:firstLine="6"/>
        <w:rPr>
          <w:sz w:val="22"/>
          <w:szCs w:val="22"/>
        </w:rPr>
      </w:pPr>
      <w:r w:rsidRPr="00BC479A">
        <w:rPr>
          <w:sz w:val="22"/>
          <w:szCs w:val="22"/>
        </w:rPr>
        <w:t>El Fideicomiso se encuentra en el proceso de implementación de un sistema de armonización contable que cumpla con la normatividad vigente emitida por el CONAC y sus disposiciones.</w:t>
      </w:r>
    </w:p>
    <w:p w14:paraId="3DAF51FF" w14:textId="77777777" w:rsidR="00AE1A37" w:rsidRPr="00BC479A" w:rsidRDefault="00AE1A37" w:rsidP="00AE1A37">
      <w:pPr>
        <w:pStyle w:val="INCISO"/>
        <w:spacing w:after="0" w:line="240" w:lineRule="exact"/>
        <w:ind w:left="720" w:hanging="453"/>
        <w:rPr>
          <w:sz w:val="22"/>
          <w:szCs w:val="22"/>
        </w:rPr>
      </w:pPr>
      <w:r w:rsidRPr="00BC479A">
        <w:rPr>
          <w:sz w:val="22"/>
          <w:szCs w:val="22"/>
        </w:rPr>
        <w:t>a)</w:t>
      </w:r>
      <w:r>
        <w:rPr>
          <w:sz w:val="22"/>
          <w:szCs w:val="22"/>
        </w:rPr>
        <w:t xml:space="preserve">  </w:t>
      </w:r>
      <w:r w:rsidRPr="00BC479A">
        <w:rPr>
          <w:sz w:val="22"/>
          <w:szCs w:val="22"/>
        </w:rPr>
        <w:tab/>
        <w:t xml:space="preserve">Si se ha observado la normatividad emitida por el CONAC y las disposiciones </w:t>
      </w:r>
      <w:r>
        <w:rPr>
          <w:sz w:val="22"/>
          <w:szCs w:val="22"/>
        </w:rPr>
        <w:t xml:space="preserve">   </w:t>
      </w:r>
      <w:r w:rsidRPr="00BC479A">
        <w:rPr>
          <w:sz w:val="22"/>
          <w:szCs w:val="22"/>
        </w:rPr>
        <w:t>legales aplicables.</w:t>
      </w:r>
    </w:p>
    <w:p w14:paraId="09E96C2C" w14:textId="77777777" w:rsidR="00AE1A37" w:rsidRPr="00BC479A" w:rsidRDefault="00AE1A37" w:rsidP="00AE1A37">
      <w:pPr>
        <w:pStyle w:val="INCISO"/>
        <w:spacing w:after="0" w:line="240" w:lineRule="exact"/>
        <w:ind w:left="720" w:hanging="453"/>
        <w:rPr>
          <w:sz w:val="22"/>
          <w:szCs w:val="22"/>
        </w:rPr>
      </w:pPr>
      <w:r w:rsidRPr="00BC479A">
        <w:rPr>
          <w:sz w:val="22"/>
          <w:szCs w:val="22"/>
        </w:rPr>
        <w:t>b)</w:t>
      </w:r>
      <w:r w:rsidRPr="00BC479A">
        <w:rPr>
          <w:sz w:val="22"/>
          <w:szCs w:val="22"/>
        </w:rPr>
        <w:tab/>
        <w:t>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14:paraId="5AE780DD" w14:textId="77777777" w:rsidR="00AE1A37" w:rsidRPr="00BC479A" w:rsidRDefault="00AE1A37" w:rsidP="00AE1A37">
      <w:pPr>
        <w:pStyle w:val="INCISO"/>
        <w:spacing w:after="0" w:line="240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c)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Postulados básicos.</w:t>
      </w:r>
    </w:p>
    <w:p w14:paraId="7E4796EB" w14:textId="77777777" w:rsidR="00AE1A37" w:rsidRPr="00BC479A" w:rsidRDefault="00AE1A37" w:rsidP="00AE1A37">
      <w:pPr>
        <w:pStyle w:val="INCISO"/>
        <w:spacing w:after="0" w:line="240" w:lineRule="exact"/>
        <w:ind w:left="717" w:hanging="51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d)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Normatividad supletoria. En caso de emplear varios grupos de normatividades (normatividades supletorias), deberá realizar la justificación razonable correspondiente.</w:t>
      </w:r>
    </w:p>
    <w:p w14:paraId="1B75A025" w14:textId="77777777" w:rsidR="00AE1A37" w:rsidRPr="00BC479A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0A8D7F24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6.</w:t>
      </w:r>
      <w:r w:rsidRPr="00BC479A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14:paraId="7153376E" w14:textId="77777777" w:rsidR="00AE1A37" w:rsidRPr="00BC479A" w:rsidRDefault="00AE1A37" w:rsidP="00AE1A37">
      <w:pPr>
        <w:pStyle w:val="Texto"/>
        <w:spacing w:after="0" w:line="240" w:lineRule="exact"/>
        <w:ind w:left="696" w:firstLine="0"/>
        <w:rPr>
          <w:sz w:val="22"/>
          <w:szCs w:val="22"/>
        </w:rPr>
      </w:pPr>
      <w:r w:rsidRPr="00BC479A">
        <w:rPr>
          <w:sz w:val="22"/>
          <w:szCs w:val="22"/>
        </w:rPr>
        <w:lastRenderedPageBreak/>
        <w:t xml:space="preserve">El fideicomiso no tiene operaciones con moneda extranjera por lo que no tiene </w:t>
      </w:r>
      <w:r>
        <w:rPr>
          <w:sz w:val="22"/>
          <w:szCs w:val="22"/>
        </w:rPr>
        <w:t xml:space="preserve">   </w:t>
      </w:r>
      <w:r w:rsidRPr="00BC479A">
        <w:rPr>
          <w:sz w:val="22"/>
          <w:szCs w:val="22"/>
        </w:rPr>
        <w:t xml:space="preserve">nada </w:t>
      </w:r>
      <w:r>
        <w:rPr>
          <w:sz w:val="22"/>
          <w:szCs w:val="22"/>
        </w:rPr>
        <w:t xml:space="preserve">      </w:t>
      </w:r>
      <w:r w:rsidRPr="00BC479A">
        <w:rPr>
          <w:sz w:val="22"/>
          <w:szCs w:val="22"/>
        </w:rPr>
        <w:t>que reportar por los siguientes conceptos.</w:t>
      </w:r>
    </w:p>
    <w:p w14:paraId="20826F5F" w14:textId="77777777" w:rsidR="00AE1A37" w:rsidRPr="00BC479A" w:rsidRDefault="00AE1A37" w:rsidP="00AE1A37">
      <w:pPr>
        <w:pStyle w:val="INCISO"/>
        <w:spacing w:after="0" w:line="240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a)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Activos en moneda extranjera</w:t>
      </w:r>
    </w:p>
    <w:p w14:paraId="46F76574" w14:textId="77777777" w:rsidR="00AE1A37" w:rsidRPr="00BC479A" w:rsidRDefault="00AE1A37" w:rsidP="00AE1A37">
      <w:pPr>
        <w:pStyle w:val="INCISO"/>
        <w:spacing w:after="0" w:line="240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b)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Pasivos en moneda extranjera</w:t>
      </w:r>
    </w:p>
    <w:p w14:paraId="1BFBFA18" w14:textId="77777777" w:rsidR="00AE1A37" w:rsidRPr="00BC479A" w:rsidRDefault="00AE1A37" w:rsidP="00AE1A37">
      <w:pPr>
        <w:pStyle w:val="INCISO"/>
        <w:spacing w:after="0" w:line="240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c)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Posición en moneda extranjera</w:t>
      </w:r>
    </w:p>
    <w:p w14:paraId="2CB6343A" w14:textId="77777777" w:rsidR="00AE1A37" w:rsidRPr="00BC479A" w:rsidRDefault="00AE1A37" w:rsidP="00AE1A37">
      <w:pPr>
        <w:pStyle w:val="INCISO"/>
        <w:spacing w:after="0" w:line="240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d)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Tipo de cambio</w:t>
      </w:r>
    </w:p>
    <w:p w14:paraId="64FE4FD0" w14:textId="77777777" w:rsidR="00AE1A37" w:rsidRPr="00BC479A" w:rsidRDefault="00AE1A37" w:rsidP="00AE1A37">
      <w:pPr>
        <w:pStyle w:val="INCISO"/>
        <w:spacing w:after="0" w:line="240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e)</w:t>
      </w:r>
      <w:r w:rsidRPr="00BC47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Equivalente en moneda nacional</w:t>
      </w:r>
    </w:p>
    <w:p w14:paraId="0B48C7FD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</w:p>
    <w:p w14:paraId="022CFE32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 xml:space="preserve">7. </w:t>
      </w:r>
      <w:r>
        <w:rPr>
          <w:b/>
          <w:sz w:val="22"/>
          <w:szCs w:val="22"/>
          <w:lang w:val="es-MX"/>
        </w:rPr>
        <w:t xml:space="preserve">  </w:t>
      </w:r>
      <w:r>
        <w:rPr>
          <w:b/>
          <w:sz w:val="22"/>
          <w:szCs w:val="22"/>
          <w:lang w:val="es-MX"/>
        </w:rPr>
        <w:tab/>
      </w:r>
      <w:r w:rsidRPr="00BC479A">
        <w:rPr>
          <w:b/>
          <w:sz w:val="22"/>
          <w:szCs w:val="22"/>
          <w:lang w:val="es-MX"/>
        </w:rPr>
        <w:t>Reporte Analítico del Activo</w:t>
      </w:r>
    </w:p>
    <w:p w14:paraId="13206A02" w14:textId="77777777" w:rsidR="00AE1A37" w:rsidRPr="00BC479A" w:rsidRDefault="00AE1A37" w:rsidP="00AE1A37">
      <w:pPr>
        <w:pStyle w:val="Texto"/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Debe mostrar la siguiente información:</w:t>
      </w:r>
    </w:p>
    <w:p w14:paraId="5D8F77CA" w14:textId="77777777" w:rsidR="00AE1A37" w:rsidRPr="00BC479A" w:rsidRDefault="00AE1A37" w:rsidP="00AE1A37">
      <w:pPr>
        <w:pStyle w:val="INCISO"/>
        <w:spacing w:after="0" w:line="240" w:lineRule="exact"/>
        <w:ind w:left="719" w:hanging="435"/>
        <w:rPr>
          <w:sz w:val="22"/>
          <w:szCs w:val="22"/>
        </w:rPr>
      </w:pPr>
      <w:r w:rsidRPr="00BC479A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Vida útil o porcentajes de depreciación, deterioro o amortización utilizados en</w:t>
      </w: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los</w:t>
      </w: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 xml:space="preserve">diferentes tipos de activos: Los porcentajes de depreciación corresponden a los establecidos en la Ley de Impuesto Sobre la Renta y su Reglamento de acuerdo a los bienes correspondientes. </w:t>
      </w:r>
    </w:p>
    <w:p w14:paraId="63F35F8A" w14:textId="77777777" w:rsidR="00AE1A37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C479A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Cambios en el porcentaje de depreciación o valor residual de los activos.</w:t>
      </w:r>
    </w:p>
    <w:p w14:paraId="0AA52533" w14:textId="77777777" w:rsidR="00AE1A37" w:rsidRPr="00BC479A" w:rsidRDefault="00AE1A37" w:rsidP="00AE1A37">
      <w:pPr>
        <w:pStyle w:val="INCISO"/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90D6DD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 xml:space="preserve">Importe de los gastos capitalizados en el ejercicio, tanto financieros como de </w:t>
      </w:r>
      <w:r>
        <w:rPr>
          <w:sz w:val="22"/>
          <w:szCs w:val="22"/>
        </w:rPr>
        <w:t xml:space="preserve">  </w:t>
      </w:r>
      <w:r w:rsidRPr="00BC479A">
        <w:rPr>
          <w:sz w:val="22"/>
          <w:szCs w:val="22"/>
        </w:rPr>
        <w:t>investigación y desarrollo.</w:t>
      </w:r>
    </w:p>
    <w:p w14:paraId="5B8FC51C" w14:textId="77777777" w:rsidR="00AE1A37" w:rsidRPr="00BC479A" w:rsidRDefault="00AE1A37" w:rsidP="00AE1A37">
      <w:pPr>
        <w:pStyle w:val="INCISO"/>
        <w:spacing w:after="0" w:line="240" w:lineRule="exact"/>
        <w:ind w:left="709" w:hanging="382"/>
        <w:rPr>
          <w:sz w:val="22"/>
          <w:szCs w:val="22"/>
        </w:rPr>
      </w:pPr>
      <w:r w:rsidRPr="00BC479A">
        <w:rPr>
          <w:sz w:val="22"/>
          <w:szCs w:val="22"/>
        </w:rPr>
        <w:t>d)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Rie</w:t>
      </w:r>
      <w:r>
        <w:rPr>
          <w:sz w:val="22"/>
          <w:szCs w:val="22"/>
        </w:rPr>
        <w:t>s</w:t>
      </w:r>
      <w:r w:rsidRPr="00BC479A">
        <w:rPr>
          <w:sz w:val="22"/>
          <w:szCs w:val="22"/>
        </w:rPr>
        <w:t>gos por tipo de cambio o tipo de interés de las inversiones financieras: No aplica</w:t>
      </w:r>
    </w:p>
    <w:p w14:paraId="3589A182" w14:textId="77777777" w:rsidR="00AE1A37" w:rsidRPr="00BC479A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C479A">
        <w:rPr>
          <w:sz w:val="22"/>
          <w:szCs w:val="22"/>
        </w:rPr>
        <w:t>e</w:t>
      </w:r>
      <w:r>
        <w:rPr>
          <w:sz w:val="22"/>
          <w:szCs w:val="22"/>
        </w:rPr>
        <w:t xml:space="preserve">)  </w:t>
      </w:r>
      <w:r w:rsidRPr="00BC479A">
        <w:rPr>
          <w:sz w:val="22"/>
          <w:szCs w:val="22"/>
        </w:rPr>
        <w:t>Valor activado en el ejercicio de los bienes construidos por la entidad.</w:t>
      </w:r>
    </w:p>
    <w:p w14:paraId="7C05C600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f)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>Otras circunstancias de carácter significativo que afecten el activo, tale</w:t>
      </w:r>
      <w:r>
        <w:rPr>
          <w:sz w:val="22"/>
          <w:szCs w:val="22"/>
        </w:rPr>
        <w:t>s</w:t>
      </w:r>
      <w:r w:rsidRPr="00BC479A">
        <w:rPr>
          <w:sz w:val="22"/>
          <w:szCs w:val="22"/>
        </w:rPr>
        <w:t xml:space="preserve"> com</w:t>
      </w:r>
      <w:r>
        <w:rPr>
          <w:sz w:val="22"/>
          <w:szCs w:val="22"/>
        </w:rPr>
        <w:t xml:space="preserve">o </w:t>
      </w:r>
      <w:r w:rsidRPr="00BC479A">
        <w:rPr>
          <w:sz w:val="22"/>
          <w:szCs w:val="22"/>
        </w:rPr>
        <w:t>bienes</w:t>
      </w:r>
      <w:r>
        <w:rPr>
          <w:sz w:val="22"/>
          <w:szCs w:val="22"/>
        </w:rPr>
        <w:t xml:space="preserve"> </w:t>
      </w:r>
      <w:r w:rsidRPr="00BC479A">
        <w:rPr>
          <w:sz w:val="22"/>
          <w:szCs w:val="22"/>
        </w:rPr>
        <w:t>en garantía, señalados en embargos, litigios, títulos de inversiones entregados en garantías, baja significativa del valor de inversiones financieras, etc.: El fideicomiso no cuenta con títulos de inversión</w:t>
      </w:r>
      <w:r>
        <w:rPr>
          <w:sz w:val="22"/>
          <w:szCs w:val="22"/>
        </w:rPr>
        <w:t xml:space="preserve"> y litigios con convenio de pagos.</w:t>
      </w:r>
    </w:p>
    <w:p w14:paraId="0489DCAC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g)</w:t>
      </w:r>
      <w:r w:rsidRPr="00BC479A">
        <w:rPr>
          <w:sz w:val="22"/>
          <w:szCs w:val="22"/>
        </w:rPr>
        <w:tab/>
        <w:t>Desmantelamiento de Activos, procedimientos, implicaciones, efectos contables</w:t>
      </w:r>
    </w:p>
    <w:p w14:paraId="37E370E7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h)</w:t>
      </w:r>
      <w:r w:rsidRPr="00BC479A">
        <w:rPr>
          <w:sz w:val="22"/>
          <w:szCs w:val="22"/>
        </w:rPr>
        <w:tab/>
        <w:t>Administración de activos; planeación con el objetivo de que el ente los utilice de manera más efectiva.</w:t>
      </w:r>
    </w:p>
    <w:p w14:paraId="2B6F0D29" w14:textId="77777777" w:rsidR="00AE1A37" w:rsidRPr="00BC479A" w:rsidRDefault="00AE1A37" w:rsidP="00AE1A37">
      <w:pPr>
        <w:pStyle w:val="INCISO"/>
        <w:spacing w:after="0" w:line="240" w:lineRule="exact"/>
        <w:ind w:left="0" w:firstLine="0"/>
        <w:rPr>
          <w:sz w:val="22"/>
          <w:szCs w:val="22"/>
        </w:rPr>
      </w:pPr>
    </w:p>
    <w:p w14:paraId="5E589D0F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8.</w:t>
      </w:r>
      <w:r w:rsidRPr="00BC479A">
        <w:rPr>
          <w:b/>
          <w:sz w:val="22"/>
          <w:szCs w:val="22"/>
          <w:lang w:val="es-MX"/>
        </w:rPr>
        <w:tab/>
        <w:t>Fideicomisos, Mandatos y Análogos</w:t>
      </w:r>
    </w:p>
    <w:p w14:paraId="088E2703" w14:textId="77777777" w:rsidR="00AE1A37" w:rsidRPr="00BC479A" w:rsidRDefault="00AE1A37" w:rsidP="00AE1A37">
      <w:pPr>
        <w:pStyle w:val="Texto"/>
        <w:spacing w:after="0" w:line="240" w:lineRule="exact"/>
        <w:ind w:left="696" w:firstLine="0"/>
        <w:rPr>
          <w:sz w:val="22"/>
          <w:szCs w:val="22"/>
        </w:rPr>
      </w:pPr>
      <w:r w:rsidRPr="00BC479A">
        <w:rPr>
          <w:sz w:val="22"/>
          <w:szCs w:val="22"/>
        </w:rPr>
        <w:t xml:space="preserve">El fideicomiso no cuenta con Fideicomiso, Mandatos y Análogos por lo que no </w:t>
      </w:r>
      <w:r>
        <w:rPr>
          <w:sz w:val="22"/>
          <w:szCs w:val="22"/>
        </w:rPr>
        <w:t xml:space="preserve">         </w:t>
      </w:r>
      <w:r w:rsidRPr="00BC479A">
        <w:rPr>
          <w:sz w:val="22"/>
          <w:szCs w:val="22"/>
        </w:rPr>
        <w:t>tiene nada que informar por los siguientes conceptos:</w:t>
      </w:r>
    </w:p>
    <w:p w14:paraId="507B5A68" w14:textId="77777777" w:rsidR="00AE1A37" w:rsidRDefault="00AE1A37" w:rsidP="00AE1A37">
      <w:pPr>
        <w:pStyle w:val="INCISO"/>
        <w:numPr>
          <w:ilvl w:val="0"/>
          <w:numId w:val="10"/>
        </w:numPr>
        <w:spacing w:after="0" w:line="240" w:lineRule="exact"/>
        <w:rPr>
          <w:sz w:val="22"/>
          <w:szCs w:val="22"/>
        </w:rPr>
      </w:pPr>
      <w:r w:rsidRPr="00BC479A">
        <w:rPr>
          <w:sz w:val="22"/>
          <w:szCs w:val="22"/>
        </w:rPr>
        <w:t>Por ramo o unidad administrativa que los reporta.</w:t>
      </w:r>
    </w:p>
    <w:p w14:paraId="27482A17" w14:textId="77777777" w:rsidR="00AE1A37" w:rsidRPr="00BC479A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168373D3" w14:textId="77777777" w:rsidR="00AE1A37" w:rsidRPr="00BC479A" w:rsidRDefault="00AE1A37" w:rsidP="00AE1A37">
      <w:pPr>
        <w:pStyle w:val="INCISO"/>
        <w:spacing w:after="0" w:line="240" w:lineRule="exact"/>
        <w:ind w:left="720"/>
        <w:rPr>
          <w:sz w:val="22"/>
          <w:szCs w:val="22"/>
        </w:rPr>
      </w:pPr>
      <w:r w:rsidRPr="00BC479A">
        <w:rPr>
          <w:sz w:val="22"/>
          <w:szCs w:val="22"/>
        </w:rPr>
        <w:t>b)</w:t>
      </w:r>
      <w:r w:rsidRPr="00BC479A">
        <w:rPr>
          <w:sz w:val="22"/>
          <w:szCs w:val="22"/>
        </w:rPr>
        <w:tab/>
        <w:t>Enlistar los de mayor monto de disponibilidad, relacionando aquéllos que conforman el 80% de las disponibilidades.</w:t>
      </w:r>
    </w:p>
    <w:p w14:paraId="4BFF135C" w14:textId="77777777" w:rsidR="00AE1A37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1396829F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9.</w:t>
      </w:r>
      <w:r w:rsidRPr="00BC479A">
        <w:rPr>
          <w:b/>
          <w:sz w:val="22"/>
          <w:szCs w:val="22"/>
          <w:lang w:val="es-MX"/>
        </w:rPr>
        <w:tab/>
        <w:t>Reporte de la Recaudación</w:t>
      </w:r>
    </w:p>
    <w:p w14:paraId="101DCB35" w14:textId="77777777" w:rsidR="00AE1A37" w:rsidRPr="00BC479A" w:rsidRDefault="00AE1A37" w:rsidP="00AE1A37">
      <w:pPr>
        <w:pStyle w:val="INCISO"/>
        <w:spacing w:after="0" w:line="240" w:lineRule="exact"/>
        <w:ind w:left="720" w:hanging="432"/>
        <w:rPr>
          <w:sz w:val="22"/>
          <w:szCs w:val="22"/>
        </w:rPr>
      </w:pPr>
      <w:r w:rsidRPr="00BC479A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Pr="00BC479A">
        <w:rPr>
          <w:sz w:val="22"/>
          <w:szCs w:val="22"/>
        </w:rPr>
        <w:t xml:space="preserve">Análisis del comportamiento de la recaudación correspondiente al ente público o </w:t>
      </w:r>
      <w:r>
        <w:rPr>
          <w:sz w:val="22"/>
          <w:szCs w:val="22"/>
        </w:rPr>
        <w:t xml:space="preserve">    </w:t>
      </w:r>
      <w:r w:rsidRPr="00BC479A">
        <w:rPr>
          <w:sz w:val="22"/>
          <w:szCs w:val="22"/>
        </w:rPr>
        <w:t>cualquier tipo de ingreso, de forma separada los ingresos locales de los federales:</w:t>
      </w:r>
    </w:p>
    <w:p w14:paraId="620961A1" w14:textId="77777777" w:rsidR="00AE1A37" w:rsidRPr="001B7657" w:rsidRDefault="00AE1A37" w:rsidP="00AE1A37">
      <w:pPr>
        <w:pStyle w:val="ROMANOS"/>
        <w:tabs>
          <w:tab w:val="clear" w:pos="720"/>
        </w:tabs>
        <w:spacing w:after="0" w:line="240" w:lineRule="exact"/>
        <w:rPr>
          <w:sz w:val="22"/>
          <w:szCs w:val="22"/>
        </w:rPr>
      </w:pPr>
      <w:r>
        <w:rPr>
          <w:sz w:val="22"/>
          <w:szCs w:val="22"/>
          <w:lang w:val="es-MX"/>
        </w:rPr>
        <w:t>b)</w:t>
      </w:r>
      <w:r>
        <w:rPr>
          <w:sz w:val="22"/>
          <w:szCs w:val="22"/>
          <w:lang w:val="es-MX"/>
        </w:rPr>
        <w:tab/>
      </w:r>
      <w:r w:rsidRPr="001B7657">
        <w:rPr>
          <w:sz w:val="22"/>
          <w:szCs w:val="22"/>
          <w:lang w:val="es-MX"/>
        </w:rPr>
        <w:t>El Fideicomiso obtuvo ingresos provenientes de subsidios y aportaciones del Gobierno del Estado por la cantidad de $</w:t>
      </w:r>
      <w:r>
        <w:rPr>
          <w:sz w:val="22"/>
          <w:szCs w:val="22"/>
          <w:lang w:val="es-MX"/>
        </w:rPr>
        <w:t>3,117,147.72</w:t>
      </w:r>
      <w:r w:rsidRPr="001B7657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Tres millones ciento se P</w:t>
      </w:r>
      <w:r w:rsidRPr="001B7657">
        <w:rPr>
          <w:sz w:val="22"/>
          <w:szCs w:val="22"/>
          <w:lang w:val="es-MX"/>
        </w:rPr>
        <w:t xml:space="preserve">esos </w:t>
      </w:r>
      <w:r>
        <w:rPr>
          <w:sz w:val="22"/>
          <w:szCs w:val="22"/>
          <w:lang w:val="es-MX"/>
        </w:rPr>
        <w:t>33</w:t>
      </w:r>
      <w:r w:rsidRPr="001B7657">
        <w:rPr>
          <w:sz w:val="22"/>
          <w:szCs w:val="22"/>
          <w:lang w:val="es-MX"/>
        </w:rPr>
        <w:t>/100 M.N.); Ingresos propios por la venta</w:t>
      </w:r>
      <w:r>
        <w:rPr>
          <w:sz w:val="22"/>
          <w:szCs w:val="22"/>
          <w:lang w:val="es-MX"/>
        </w:rPr>
        <w:t xml:space="preserve"> y renta</w:t>
      </w:r>
      <w:r w:rsidRPr="001B7657">
        <w:rPr>
          <w:sz w:val="22"/>
          <w:szCs w:val="22"/>
          <w:lang w:val="es-MX"/>
        </w:rPr>
        <w:t xml:space="preserve"> de bienes y servicios por la cantidad de $</w:t>
      </w:r>
      <w:r>
        <w:rPr>
          <w:sz w:val="22"/>
          <w:szCs w:val="22"/>
          <w:lang w:val="es-MX"/>
        </w:rPr>
        <w:t>354,000.00</w:t>
      </w:r>
      <w:r w:rsidRPr="001B7657">
        <w:rPr>
          <w:sz w:val="22"/>
          <w:szCs w:val="22"/>
          <w:lang w:val="es-MX"/>
        </w:rPr>
        <w:t xml:space="preserve"> (</w:t>
      </w:r>
      <w:r>
        <w:rPr>
          <w:sz w:val="22"/>
          <w:szCs w:val="22"/>
          <w:lang w:val="es-MX"/>
        </w:rPr>
        <w:t>Trescientos cincuenta y cuatro mil pesos 00</w:t>
      </w:r>
      <w:r w:rsidRPr="001B7657">
        <w:rPr>
          <w:sz w:val="22"/>
          <w:szCs w:val="22"/>
          <w:lang w:val="es-MX"/>
        </w:rPr>
        <w:t>/100 M.N)</w:t>
      </w:r>
      <w:r>
        <w:rPr>
          <w:sz w:val="22"/>
          <w:szCs w:val="22"/>
          <w:lang w:val="es-MX"/>
        </w:rPr>
        <w:t xml:space="preserve">. </w:t>
      </w:r>
      <w:r w:rsidRPr="001B7657">
        <w:rPr>
          <w:sz w:val="22"/>
          <w:szCs w:val="22"/>
          <w:lang w:val="es-MX"/>
        </w:rPr>
        <w:t xml:space="preserve"> </w:t>
      </w:r>
    </w:p>
    <w:p w14:paraId="1CF3523B" w14:textId="77777777" w:rsidR="00AE1A37" w:rsidRPr="001B7657" w:rsidRDefault="00AE1A37" w:rsidP="00AE1A37">
      <w:pPr>
        <w:pStyle w:val="ROMANOS"/>
        <w:spacing w:after="0" w:line="240" w:lineRule="exact"/>
        <w:rPr>
          <w:sz w:val="22"/>
          <w:szCs w:val="22"/>
        </w:rPr>
      </w:pPr>
    </w:p>
    <w:p w14:paraId="3DA654C3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10.</w:t>
      </w:r>
      <w:r w:rsidRPr="00BC479A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14:paraId="310E8094" w14:textId="7777777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>El Fideicomiso no tiene deuda pública por lo que no tiene nada que informar sobre lo siguiente:</w:t>
      </w:r>
    </w:p>
    <w:p w14:paraId="14676909" w14:textId="77777777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</w:rPr>
      </w:pPr>
      <w:r w:rsidRPr="00BC479A">
        <w:rPr>
          <w:sz w:val="22"/>
          <w:szCs w:val="22"/>
        </w:rPr>
        <w:t>a)</w:t>
      </w:r>
      <w:r w:rsidRPr="00BC479A">
        <w:rPr>
          <w:sz w:val="22"/>
          <w:szCs w:val="22"/>
        </w:rPr>
        <w:tab/>
        <w:t>Utilizar al menos los siguientes indicadores: deuda respecto al PIB y deuda respecto a la recaudación tomando, como mínimo, un período igual o menor a 5 años.</w:t>
      </w:r>
    </w:p>
    <w:p w14:paraId="5E354BBE" w14:textId="550852BE" w:rsidR="00AE1A37" w:rsidRPr="00BC479A" w:rsidRDefault="00AE1A37" w:rsidP="00AE1A37">
      <w:pPr>
        <w:pStyle w:val="INCISO"/>
        <w:spacing w:after="0" w:line="240" w:lineRule="exact"/>
        <w:ind w:left="709"/>
        <w:rPr>
          <w:sz w:val="22"/>
          <w:szCs w:val="22"/>
          <w:lang w:val="es-MX"/>
        </w:rPr>
      </w:pPr>
      <w:r w:rsidRPr="00BC479A">
        <w:rPr>
          <w:sz w:val="22"/>
          <w:szCs w:val="22"/>
          <w:lang w:val="es-MX"/>
        </w:rPr>
        <w:lastRenderedPageBreak/>
        <w:t>b)</w:t>
      </w:r>
      <w:r w:rsidRPr="00BC479A">
        <w:rPr>
          <w:sz w:val="22"/>
          <w:szCs w:val="22"/>
          <w:lang w:val="es-MX"/>
        </w:rPr>
        <w:tab/>
        <w:t>Información de manera agrupada por tipo de valor gubernamental o instrumento financiero en la que se considere intereses, comisiones, tasa, perfil de vencimiento y otros gastos de la deuda.</w:t>
      </w:r>
    </w:p>
    <w:p w14:paraId="3DA7B12F" w14:textId="77777777" w:rsidR="00AE1A37" w:rsidRDefault="00AE1A37" w:rsidP="00AE1A37">
      <w:pPr>
        <w:pStyle w:val="INCISO"/>
        <w:spacing w:after="0" w:line="240" w:lineRule="exact"/>
        <w:rPr>
          <w:sz w:val="22"/>
          <w:szCs w:val="22"/>
          <w:lang w:val="es-MX"/>
        </w:rPr>
      </w:pPr>
    </w:p>
    <w:p w14:paraId="654526E6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11. Calificaciones otorgadas</w:t>
      </w:r>
    </w:p>
    <w:p w14:paraId="28F222B1" w14:textId="6B7C3F9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>El fideicomiso no tiene deuda pública por lo que no ha te</w:t>
      </w:r>
      <w:r>
        <w:rPr>
          <w:sz w:val="22"/>
          <w:szCs w:val="22"/>
        </w:rPr>
        <w:t>n</w:t>
      </w:r>
      <w:r w:rsidRPr="00BC479A">
        <w:rPr>
          <w:sz w:val="22"/>
          <w:szCs w:val="22"/>
        </w:rPr>
        <w:t>ido la necesidad de obtener una calificación crediticia.</w:t>
      </w:r>
    </w:p>
    <w:p w14:paraId="6C29B1AC" w14:textId="6A26B041" w:rsidR="00AE1A37" w:rsidRDefault="00AE1A37" w:rsidP="00AE1A37">
      <w:pPr>
        <w:pStyle w:val="Texto"/>
        <w:spacing w:after="0" w:line="240" w:lineRule="exact"/>
        <w:rPr>
          <w:sz w:val="22"/>
          <w:szCs w:val="22"/>
        </w:rPr>
      </w:pPr>
    </w:p>
    <w:p w14:paraId="1691F75E" w14:textId="5A651224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12.</w:t>
      </w:r>
      <w:r w:rsidRPr="00BC479A">
        <w:rPr>
          <w:b/>
          <w:sz w:val="22"/>
          <w:szCs w:val="22"/>
          <w:lang w:val="es-MX"/>
        </w:rPr>
        <w:tab/>
        <w:t>Proceso de Mejora</w:t>
      </w:r>
    </w:p>
    <w:p w14:paraId="78CB8991" w14:textId="0F76294F" w:rsidR="00AE1A37" w:rsidRDefault="00AE1A37" w:rsidP="00AE1A37">
      <w:pPr>
        <w:pStyle w:val="Texto"/>
        <w:spacing w:after="0" w:line="240" w:lineRule="exact"/>
        <w:ind w:firstLine="648"/>
        <w:rPr>
          <w:sz w:val="22"/>
          <w:szCs w:val="22"/>
        </w:rPr>
      </w:pPr>
      <w:r w:rsidRPr="00BC479A">
        <w:rPr>
          <w:sz w:val="22"/>
          <w:szCs w:val="22"/>
        </w:rPr>
        <w:t>Se informará de</w:t>
      </w:r>
      <w:r>
        <w:rPr>
          <w:sz w:val="22"/>
          <w:szCs w:val="22"/>
        </w:rPr>
        <w:t>:</w:t>
      </w:r>
    </w:p>
    <w:p w14:paraId="33697743" w14:textId="67E012A9" w:rsidR="00AE1A37" w:rsidRDefault="00AE1A37" w:rsidP="00AE1A37">
      <w:pPr>
        <w:pStyle w:val="INCISO"/>
        <w:numPr>
          <w:ilvl w:val="0"/>
          <w:numId w:val="9"/>
        </w:numPr>
        <w:spacing w:after="0" w:line="240" w:lineRule="exact"/>
        <w:rPr>
          <w:sz w:val="22"/>
          <w:szCs w:val="22"/>
        </w:rPr>
      </w:pPr>
      <w:r w:rsidRPr="00BC479A">
        <w:rPr>
          <w:sz w:val="22"/>
          <w:szCs w:val="22"/>
        </w:rPr>
        <w:t xml:space="preserve">Principales </w:t>
      </w:r>
      <w:r>
        <w:rPr>
          <w:sz w:val="22"/>
          <w:szCs w:val="22"/>
        </w:rPr>
        <w:t>p</w:t>
      </w:r>
      <w:r w:rsidRPr="00BC479A">
        <w:rPr>
          <w:sz w:val="22"/>
          <w:szCs w:val="22"/>
        </w:rPr>
        <w:t xml:space="preserve">olíticas de control interno.- El fideicomiso cuenta con un </w:t>
      </w:r>
      <w:r>
        <w:rPr>
          <w:sz w:val="22"/>
          <w:szCs w:val="22"/>
        </w:rPr>
        <w:t xml:space="preserve">manual de   políticas y procedimiento de ingresos y de gastos, </w:t>
      </w:r>
      <w:r w:rsidRPr="00BC479A">
        <w:rPr>
          <w:sz w:val="22"/>
          <w:szCs w:val="22"/>
        </w:rPr>
        <w:t xml:space="preserve">que permite regular los controles internos del mismo, asimismo cuenta con procedimientos de actividades por departamento, con estos </w:t>
      </w:r>
      <w:r>
        <w:rPr>
          <w:sz w:val="22"/>
          <w:szCs w:val="22"/>
        </w:rPr>
        <w:t>s</w:t>
      </w:r>
      <w:r w:rsidRPr="00BC479A">
        <w:rPr>
          <w:sz w:val="22"/>
          <w:szCs w:val="22"/>
        </w:rPr>
        <w:t>e da seguimiento a la mejora continua de las operaciones sin parar la operación si algún trabajador es dado de baja o suspendido de manera temporal, así también cuenta con órgano fiscalizador por parte de la Contraloría General de Estado que revisa, observa y recomienda la mejora continua a través de correcciones preventivas y/o correctivas en su caso.</w:t>
      </w:r>
    </w:p>
    <w:p w14:paraId="70111B48" w14:textId="328A75BB" w:rsidR="00AE1A37" w:rsidRDefault="00AE1A37" w:rsidP="00AE1A37">
      <w:pPr>
        <w:pStyle w:val="INCISO"/>
        <w:spacing w:after="0" w:line="240" w:lineRule="exact"/>
        <w:rPr>
          <w:sz w:val="22"/>
          <w:szCs w:val="22"/>
        </w:rPr>
      </w:pPr>
    </w:p>
    <w:p w14:paraId="5B50801B" w14:textId="6A6CD67C" w:rsidR="00AE1A37" w:rsidRDefault="00AE1A37" w:rsidP="00AE1A37">
      <w:pPr>
        <w:pStyle w:val="INCISO"/>
        <w:spacing w:after="0" w:line="240" w:lineRule="exact"/>
        <w:ind w:left="0" w:firstLine="288"/>
        <w:rPr>
          <w:sz w:val="22"/>
          <w:szCs w:val="22"/>
        </w:rPr>
      </w:pPr>
      <w:r w:rsidRPr="00BC479A">
        <w:rPr>
          <w:sz w:val="22"/>
          <w:szCs w:val="22"/>
        </w:rPr>
        <w:t>b)</w:t>
      </w:r>
      <w:r w:rsidRPr="00BC479A">
        <w:rPr>
          <w:sz w:val="22"/>
          <w:szCs w:val="22"/>
        </w:rPr>
        <w:tab/>
        <w:t>Medidas de desempeño financiero, metas y alcance.</w:t>
      </w:r>
    </w:p>
    <w:p w14:paraId="3A4F7BD4" w14:textId="77777777" w:rsidR="00AE1A37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164E3CB3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13.</w:t>
      </w:r>
      <w:r w:rsidRPr="00BC479A">
        <w:rPr>
          <w:b/>
          <w:sz w:val="22"/>
          <w:szCs w:val="22"/>
          <w:lang w:val="es-MX"/>
        </w:rPr>
        <w:tab/>
        <w:t>Eventos Posteriores al Cierre</w:t>
      </w:r>
    </w:p>
    <w:p w14:paraId="527B59D8" w14:textId="694181AC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 xml:space="preserve">El fideicomiso </w:t>
      </w:r>
      <w:r>
        <w:rPr>
          <w:sz w:val="22"/>
          <w:szCs w:val="22"/>
        </w:rPr>
        <w:t xml:space="preserve">no </w:t>
      </w:r>
      <w:r w:rsidRPr="00BC479A">
        <w:rPr>
          <w:sz w:val="22"/>
          <w:szCs w:val="22"/>
        </w:rPr>
        <w:t xml:space="preserve">tiene como hechos ocurridos posteriores al </w:t>
      </w:r>
      <w:r>
        <w:rPr>
          <w:sz w:val="22"/>
          <w:szCs w:val="22"/>
        </w:rPr>
        <w:t>periodo</w:t>
      </w:r>
      <w:r w:rsidRPr="00BC479A">
        <w:rPr>
          <w:sz w:val="22"/>
          <w:szCs w:val="22"/>
        </w:rPr>
        <w:t xml:space="preserve"> que pudiera afectar en sus estados financieros.</w:t>
      </w:r>
    </w:p>
    <w:p w14:paraId="6132A3DC" w14:textId="1E25CECF" w:rsidR="00AE1A37" w:rsidRPr="00BC479A" w:rsidRDefault="00AE1A37" w:rsidP="00AE1A37">
      <w:pPr>
        <w:pStyle w:val="Texto"/>
        <w:spacing w:after="0" w:line="240" w:lineRule="exact"/>
        <w:ind w:firstLine="0"/>
        <w:rPr>
          <w:sz w:val="22"/>
          <w:szCs w:val="22"/>
        </w:rPr>
      </w:pPr>
      <w:bookmarkStart w:id="0" w:name="_GoBack"/>
      <w:bookmarkEnd w:id="0"/>
    </w:p>
    <w:p w14:paraId="6EC51A71" w14:textId="18DD2855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14.</w:t>
      </w:r>
      <w:r w:rsidRPr="00BC479A">
        <w:rPr>
          <w:b/>
          <w:sz w:val="22"/>
          <w:szCs w:val="22"/>
          <w:lang w:val="es-MX"/>
        </w:rPr>
        <w:tab/>
        <w:t>Partes Relacionadas</w:t>
      </w:r>
    </w:p>
    <w:p w14:paraId="1A9453FE" w14:textId="2D6F2C8C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 w:rsidRPr="00BC479A">
        <w:rPr>
          <w:sz w:val="22"/>
          <w:szCs w:val="22"/>
        </w:rPr>
        <w:t>En el fideicomiso no existen partes relacionadas que pudieran ejercer influencia significativa sobre la toma de decisiones financieras y operativas.</w:t>
      </w:r>
    </w:p>
    <w:p w14:paraId="47670353" w14:textId="5C974F8F" w:rsidR="00AE1A37" w:rsidRDefault="00AE1A37" w:rsidP="00AE1A37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55F76F00" w14:textId="77777777" w:rsidR="00AE1A37" w:rsidRPr="00BC479A" w:rsidRDefault="00AE1A37" w:rsidP="00AE1A37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BC479A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5</w:t>
      </w:r>
      <w:r w:rsidRPr="00BC479A">
        <w:rPr>
          <w:b/>
          <w:sz w:val="22"/>
          <w:szCs w:val="22"/>
          <w:lang w:val="es-MX"/>
        </w:rPr>
        <w:t>.</w:t>
      </w:r>
      <w:r w:rsidRPr="00BC479A"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>Declaración de Responsabilidad</w:t>
      </w:r>
    </w:p>
    <w:p w14:paraId="106A49C4" w14:textId="20A9ED57" w:rsidR="00AE1A37" w:rsidRPr="00BC479A" w:rsidRDefault="00AE1A37" w:rsidP="00AE1A37">
      <w:pPr>
        <w:pStyle w:val="Texto"/>
        <w:spacing w:after="0" w:line="240" w:lineRule="exact"/>
        <w:ind w:left="720" w:firstLine="0"/>
        <w:rPr>
          <w:sz w:val="22"/>
          <w:szCs w:val="22"/>
        </w:rPr>
      </w:pPr>
      <w:r>
        <w:rPr>
          <w:sz w:val="22"/>
          <w:szCs w:val="22"/>
        </w:rPr>
        <w:t>Bajo protesta de decir verdad declaramos que las Notas a los Estados Financieros, son razonablemente correctas y son responsabilidad del emisor.</w:t>
      </w:r>
    </w:p>
    <w:p w14:paraId="589C93DB" w14:textId="08C8F4EB" w:rsidR="00AE1A37" w:rsidRDefault="00AE1A37" w:rsidP="00AE1A37">
      <w:pPr>
        <w:jc w:val="right"/>
        <w:rPr>
          <w:rFonts w:ascii="Century Gothic" w:hAnsi="Century Gothic"/>
          <w:sz w:val="20"/>
          <w:lang w:val="es-MX"/>
        </w:rPr>
      </w:pPr>
    </w:p>
    <w:p w14:paraId="09E1267B" w14:textId="04D363A0" w:rsidR="00AE1A37" w:rsidRDefault="00AE1A37" w:rsidP="00AE1A37">
      <w:pPr>
        <w:jc w:val="right"/>
        <w:rPr>
          <w:rFonts w:ascii="Century Gothic" w:hAnsi="Century Gothic"/>
          <w:sz w:val="20"/>
          <w:lang w:val="es-MX"/>
        </w:rPr>
      </w:pPr>
      <w:r w:rsidRPr="00AE1A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29AD6" wp14:editId="434064A9">
                <wp:simplePos x="0" y="0"/>
                <wp:positionH relativeFrom="column">
                  <wp:posOffset>-629285</wp:posOffset>
                </wp:positionH>
                <wp:positionV relativeFrom="paragraph">
                  <wp:posOffset>151130</wp:posOffset>
                </wp:positionV>
                <wp:extent cx="7134225" cy="1294972"/>
                <wp:effectExtent l="0" t="0" r="9525" b="635"/>
                <wp:wrapNone/>
                <wp:docPr id="5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6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29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8728" w14:textId="77777777" w:rsidR="00AE1A37" w:rsidRDefault="00AE1A37" w:rsidP="00AE1A3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  _________________________                               ______________________                                __________________________</w:t>
                            </w:r>
                          </w:p>
                          <w:p w14:paraId="18AEBDE9" w14:textId="77777777" w:rsidR="00AE1A37" w:rsidRDefault="00AE1A37" w:rsidP="00AE1A3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               Elaborado por                                                        Revisado por                                                       Aprobado por</w:t>
                            </w:r>
                          </w:p>
                          <w:p w14:paraId="02B845DA" w14:textId="77777777" w:rsidR="00AE1A37" w:rsidRDefault="00AE1A37" w:rsidP="00AE1A3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L.C. Norma Rocío Nava Marcial                                M.F. Raúl Bello Campos                                Lic. Marcos Obed Ávila Carreño</w:t>
                            </w:r>
                          </w:p>
                          <w:p w14:paraId="725C6421" w14:textId="77777777" w:rsidR="00AE1A37" w:rsidRDefault="00AE1A37" w:rsidP="00AE1A3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Jefe de Oficina de Contabilidad                Jefe del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Depto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de Finanzas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Administracion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Director General 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35D29A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9.55pt;margin-top:11.9pt;width:561.75pt;height:10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" filled="f" stroked="f">
                <v:textbox inset="2.16pt,1.8pt,2.16pt,0">
                  <w:txbxContent>
                    <w:p w14:paraId="16D58728" w14:textId="77777777" w:rsidR="00AE1A37" w:rsidRDefault="00AE1A37" w:rsidP="00AE1A37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  _________________________                               ______________________                                __________________________</w:t>
                      </w:r>
                    </w:p>
                    <w:p w14:paraId="18AEBDE9" w14:textId="77777777" w:rsidR="00AE1A37" w:rsidRDefault="00AE1A37" w:rsidP="00AE1A37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               Elaborado por                                                        Revisado por                                                       Aprobado por</w:t>
                      </w:r>
                    </w:p>
                    <w:p w14:paraId="02B845DA" w14:textId="77777777" w:rsidR="00AE1A37" w:rsidRDefault="00AE1A37" w:rsidP="00AE1A37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L.C. Norma Rocío Nava Marcial                                M.F. Raúl Bello Campos                                Lic. Marcos Obed Ávila Carreño</w:t>
                      </w:r>
                    </w:p>
                    <w:p w14:paraId="725C6421" w14:textId="77777777" w:rsidR="00AE1A37" w:rsidRDefault="00AE1A37" w:rsidP="00AE1A37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Jefe de Oficina de Contabilidad                Jefe del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>Depto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de Finanzas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>Administracion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                       Director General </w:t>
                      </w:r>
                    </w:p>
                  </w:txbxContent>
                </v:textbox>
              </v:shape>
            </w:pict>
          </mc:Fallback>
        </mc:AlternateContent>
      </w:r>
    </w:p>
    <w:p w14:paraId="1D8E0212" w14:textId="66F8A3EA" w:rsidR="00AE1A37" w:rsidRDefault="00AE1A37" w:rsidP="00AE1A37">
      <w:pPr>
        <w:jc w:val="right"/>
        <w:rPr>
          <w:rFonts w:ascii="Century Gothic" w:hAnsi="Century Gothic"/>
          <w:sz w:val="20"/>
          <w:lang w:val="es-MX"/>
        </w:rPr>
      </w:pPr>
    </w:p>
    <w:p w14:paraId="2C076ACB" w14:textId="0A0A3290" w:rsidR="00C717D0" w:rsidRPr="00AE1A37" w:rsidRDefault="00C717D0" w:rsidP="00C717D0">
      <w:pPr>
        <w:rPr>
          <w:rFonts w:ascii="Arial Nova Cond" w:hAnsi="Arial Nova Cond"/>
          <w:b/>
          <w:bCs/>
          <w:sz w:val="20"/>
          <w:szCs w:val="20"/>
          <w:lang w:val="es-MX"/>
        </w:rPr>
      </w:pPr>
    </w:p>
    <w:sectPr w:rsidR="00C717D0" w:rsidRPr="00AE1A37" w:rsidSect="00753092">
      <w:headerReference w:type="default" r:id="rId7"/>
      <w:pgSz w:w="12240" w:h="15840" w:code="1"/>
      <w:pgMar w:top="1701" w:right="1467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D6B9" w14:textId="77777777" w:rsidR="00F05D70" w:rsidRDefault="00F05D70" w:rsidP="00385A45">
      <w:r>
        <w:separator/>
      </w:r>
    </w:p>
  </w:endnote>
  <w:endnote w:type="continuationSeparator" w:id="0">
    <w:p w14:paraId="096EEF4F" w14:textId="77777777" w:rsidR="00F05D70" w:rsidRDefault="00F05D70" w:rsidP="0038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830F8" w14:textId="77777777" w:rsidR="00F05D70" w:rsidRDefault="00F05D70" w:rsidP="00385A45">
      <w:r>
        <w:separator/>
      </w:r>
    </w:p>
  </w:footnote>
  <w:footnote w:type="continuationSeparator" w:id="0">
    <w:p w14:paraId="75D872FE" w14:textId="77777777" w:rsidR="00F05D70" w:rsidRDefault="00F05D70" w:rsidP="0038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CD62" w14:textId="10AB77B8" w:rsidR="0011231F" w:rsidRPr="00385A45" w:rsidRDefault="0011231F" w:rsidP="00385A4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D1C806C" wp14:editId="170AAA00">
          <wp:simplePos x="0" y="0"/>
          <wp:positionH relativeFrom="column">
            <wp:posOffset>-931759</wp:posOffset>
          </wp:positionH>
          <wp:positionV relativeFrom="paragraph">
            <wp:posOffset>-436880</wp:posOffset>
          </wp:positionV>
          <wp:extent cx="7721600" cy="9992270"/>
          <wp:effectExtent l="0" t="0" r="0" b="952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999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26F"/>
    <w:multiLevelType w:val="hybridMultilevel"/>
    <w:tmpl w:val="2F704758"/>
    <w:lvl w:ilvl="0" w:tplc="1D966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B21A5"/>
    <w:multiLevelType w:val="hybridMultilevel"/>
    <w:tmpl w:val="26E4432A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124F1B15"/>
    <w:multiLevelType w:val="hybridMultilevel"/>
    <w:tmpl w:val="58BA6D00"/>
    <w:lvl w:ilvl="0" w:tplc="0C0A0017">
      <w:start w:val="1"/>
      <w:numFmt w:val="lowerLetter"/>
      <w:lvlText w:val="%1)"/>
      <w:lvlJc w:val="left"/>
      <w:pPr>
        <w:ind w:left="648" w:hanging="360"/>
      </w:pPr>
    </w:lvl>
    <w:lvl w:ilvl="1" w:tplc="080A0019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4F353B0"/>
    <w:multiLevelType w:val="hybridMultilevel"/>
    <w:tmpl w:val="D728CC2E"/>
    <w:lvl w:ilvl="0" w:tplc="AC5485A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5B02B2F"/>
    <w:multiLevelType w:val="hybridMultilevel"/>
    <w:tmpl w:val="1F9ACE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D23"/>
    <w:multiLevelType w:val="hybridMultilevel"/>
    <w:tmpl w:val="99BC327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81A2A"/>
    <w:multiLevelType w:val="hybridMultilevel"/>
    <w:tmpl w:val="7A98ADBC"/>
    <w:lvl w:ilvl="0" w:tplc="7B3C284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C72601"/>
    <w:multiLevelType w:val="hybridMultilevel"/>
    <w:tmpl w:val="3DD4378E"/>
    <w:lvl w:ilvl="0" w:tplc="3E7689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33560"/>
    <w:multiLevelType w:val="hybridMultilevel"/>
    <w:tmpl w:val="BB1CB8F0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66CB4B84"/>
    <w:multiLevelType w:val="hybridMultilevel"/>
    <w:tmpl w:val="3DD4378E"/>
    <w:lvl w:ilvl="0" w:tplc="3E7689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45"/>
    <w:rsid w:val="0011231F"/>
    <w:rsid w:val="001364F2"/>
    <w:rsid w:val="00385A45"/>
    <w:rsid w:val="003A28FA"/>
    <w:rsid w:val="00501274"/>
    <w:rsid w:val="005142F4"/>
    <w:rsid w:val="0064723E"/>
    <w:rsid w:val="006645EA"/>
    <w:rsid w:val="00753092"/>
    <w:rsid w:val="00815A19"/>
    <w:rsid w:val="00A56B78"/>
    <w:rsid w:val="00AE1A37"/>
    <w:rsid w:val="00B3715C"/>
    <w:rsid w:val="00B83BF0"/>
    <w:rsid w:val="00C04C17"/>
    <w:rsid w:val="00C717D0"/>
    <w:rsid w:val="00CE6AF5"/>
    <w:rsid w:val="00DA067C"/>
    <w:rsid w:val="00E767CC"/>
    <w:rsid w:val="00F05D70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7ADC98"/>
  <w15:chartTrackingRefBased/>
  <w15:docId w15:val="{5C45676E-D721-4DDA-BA67-CB36E232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4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A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A45"/>
  </w:style>
  <w:style w:type="paragraph" w:styleId="Piedepgina">
    <w:name w:val="footer"/>
    <w:basedOn w:val="Normal"/>
    <w:link w:val="PiedepginaCar"/>
    <w:uiPriority w:val="99"/>
    <w:unhideWhenUsed/>
    <w:rsid w:val="00385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A45"/>
  </w:style>
  <w:style w:type="table" w:styleId="Tablaconcuadrcula">
    <w:name w:val="Table Grid"/>
    <w:basedOn w:val="Tablanormal"/>
    <w:uiPriority w:val="39"/>
    <w:rsid w:val="00385A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1A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">
    <w:name w:val="Texto"/>
    <w:basedOn w:val="Normal"/>
    <w:link w:val="TextoCar"/>
    <w:qFormat/>
    <w:rsid w:val="00AE1A3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INCISO">
    <w:name w:val="INCISO"/>
    <w:basedOn w:val="Normal"/>
    <w:rsid w:val="00AE1A37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AE1A37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AE1A3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E1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Avila</dc:creator>
  <cp:keywords/>
  <dc:description/>
  <cp:lastModifiedBy>T5</cp:lastModifiedBy>
  <cp:revision>11</cp:revision>
  <cp:lastPrinted>2022-02-04T04:22:00Z</cp:lastPrinted>
  <dcterms:created xsi:type="dcterms:W3CDTF">2022-01-24T03:03:00Z</dcterms:created>
  <dcterms:modified xsi:type="dcterms:W3CDTF">2022-08-17T03:49:00Z</dcterms:modified>
</cp:coreProperties>
</file>